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5FA0" w14:textId="41C3534B" w:rsidR="00BB412C" w:rsidRPr="006D13FB" w:rsidRDefault="00BB412C" w:rsidP="006D13FB">
      <w:pPr>
        <w:pStyle w:val="Heading1"/>
      </w:pPr>
      <w:r w:rsidRPr="006D13FB">
        <w:t>Disability Access and Inclusion Plan</w:t>
      </w:r>
      <w:r w:rsidR="00F64BF4" w:rsidRPr="006D13FB">
        <w:br/>
        <w:t>(</w:t>
      </w:r>
      <w:r w:rsidRPr="006D13FB">
        <w:t>DAIP) Guideline</w:t>
      </w:r>
    </w:p>
    <w:p w14:paraId="17C46A52" w14:textId="150323BA" w:rsidR="00BB412C" w:rsidRPr="006D13FB" w:rsidRDefault="00BB412C" w:rsidP="006D13FB">
      <w:pPr>
        <w:pStyle w:val="Subtitle"/>
      </w:pPr>
      <w:r w:rsidRPr="006D13FB">
        <w:t>Guidelines for South Australian State Authorities</w:t>
      </w:r>
    </w:p>
    <w:p w14:paraId="53D2ACCE" w14:textId="73091B80" w:rsidR="00BB412C" w:rsidRPr="00F64BF4" w:rsidRDefault="00BB412C" w:rsidP="006D13FB">
      <w:pPr>
        <w:pStyle w:val="Body-Text"/>
        <w:spacing w:after="9700"/>
      </w:pPr>
      <w:r w:rsidRPr="00E1601C">
        <w:t>These guidelines are designed for State authorities to assist in preparing and developing Disability Access and Inclusion Plans (DAIPs). The guidelines contain contextual information and practical advice to guide State authorities to develop DAIPs relevant to the supports and services they provide</w:t>
      </w:r>
      <w:r w:rsidR="00F64BF4" w:rsidRPr="00E1601C">
        <w:t>.</w:t>
      </w:r>
    </w:p>
    <w:p w14:paraId="3F7100B3" w14:textId="00B883E7" w:rsidR="00586F9A" w:rsidRDefault="00F64BF4" w:rsidP="00F64BF4">
      <w:pPr>
        <w:pStyle w:val="Body-Text"/>
      </w:pPr>
      <w:r w:rsidRPr="00F64BF4">
        <w:rPr>
          <w:noProof/>
        </w:rPr>
        <w:drawing>
          <wp:inline distT="0" distB="0" distL="0" distR="0" wp14:anchorId="5725C244" wp14:editId="48155F40">
            <wp:extent cx="3465583" cy="722377"/>
            <wp:effectExtent l="0" t="0" r="1905"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Human Services_Horizontal_CMYK-logo-PNG#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5583" cy="722377"/>
                    </a:xfrm>
                    <a:prstGeom prst="rect">
                      <a:avLst/>
                    </a:prstGeom>
                  </pic:spPr>
                </pic:pic>
              </a:graphicData>
            </a:graphic>
          </wp:inline>
        </w:drawing>
      </w:r>
    </w:p>
    <w:p w14:paraId="1EA43DD2" w14:textId="1DE4537E" w:rsidR="001E4C77" w:rsidRDefault="001E4C77" w:rsidP="00067A11">
      <w:pPr>
        <w:pStyle w:val="Body-Text"/>
        <w:sectPr w:rsidR="001E4C77" w:rsidSect="000A59D9">
          <w:headerReference w:type="default" r:id="rId9"/>
          <w:footerReference w:type="even" r:id="rId10"/>
          <w:footerReference w:type="default" r:id="rId11"/>
          <w:pgSz w:w="11906" w:h="16838"/>
          <w:pgMar w:top="1134" w:right="1134" w:bottom="1134" w:left="1134" w:header="709" w:footer="709" w:gutter="0"/>
          <w:cols w:space="708"/>
          <w:docGrid w:linePitch="360"/>
        </w:sectPr>
      </w:pPr>
    </w:p>
    <w:p w14:paraId="264358F5" w14:textId="44E19784" w:rsidR="00F64BF4" w:rsidRPr="00C464DA" w:rsidRDefault="00586F9A" w:rsidP="00F64BF4">
      <w:pPr>
        <w:pStyle w:val="Body-Text"/>
        <w:rPr>
          <w:b/>
          <w:sz w:val="40"/>
          <w:szCs w:val="40"/>
        </w:rPr>
      </w:pPr>
      <w:r w:rsidRPr="00C464DA">
        <w:rPr>
          <w:b/>
          <w:sz w:val="40"/>
          <w:szCs w:val="40"/>
        </w:rPr>
        <w:lastRenderedPageBreak/>
        <w:t>Table of Contents</w:t>
      </w:r>
    </w:p>
    <w:p w14:paraId="57CA6EFD" w14:textId="3D0C9CA2" w:rsidR="00E1601C" w:rsidRDefault="00E1601C" w:rsidP="00AC3C65">
      <w:pPr>
        <w:pStyle w:val="TOCHeading"/>
        <w:ind w:right="3117"/>
        <w:rPr>
          <w:rFonts w:ascii="Arial" w:hAnsi="Arial" w:cs="Arial"/>
          <w:bCs/>
          <w:noProof/>
        </w:rPr>
      </w:pPr>
    </w:p>
    <w:p w14:paraId="7A9656AC" w14:textId="00747D01" w:rsidR="008713D2" w:rsidRPr="008713D2" w:rsidRDefault="008713D2" w:rsidP="00763113">
      <w:pPr>
        <w:pStyle w:val="TOC1"/>
        <w:tabs>
          <w:tab w:val="left" w:pos="480"/>
          <w:tab w:val="right" w:pos="5245"/>
        </w:tabs>
        <w:spacing w:after="240"/>
        <w:ind w:right="4393"/>
        <w:rPr>
          <w:rFonts w:ascii="Arial" w:eastAsiaTheme="minorEastAsia" w:hAnsi="Arial" w:cs="Arial"/>
          <w:noProof/>
          <w:sz w:val="22"/>
          <w:szCs w:val="22"/>
          <w:lang w:eastAsia="en-AU"/>
        </w:rPr>
      </w:pPr>
      <w:r w:rsidRPr="008713D2">
        <w:rPr>
          <w:rFonts w:ascii="Arial" w:hAnsi="Arial" w:cs="Arial"/>
        </w:rPr>
        <w:fldChar w:fldCharType="begin"/>
      </w:r>
      <w:r w:rsidRPr="008713D2">
        <w:rPr>
          <w:rFonts w:ascii="Arial" w:hAnsi="Arial" w:cs="Arial"/>
        </w:rPr>
        <w:instrText xml:space="preserve"> TOC \h \z \t "Heading 2,1,Heading 3.3,2" </w:instrText>
      </w:r>
      <w:r w:rsidRPr="008713D2">
        <w:rPr>
          <w:rFonts w:ascii="Arial" w:hAnsi="Arial" w:cs="Arial"/>
        </w:rPr>
        <w:fldChar w:fldCharType="separate"/>
      </w:r>
      <w:hyperlink w:anchor="_Toc31884622" w:history="1">
        <w:r w:rsidRPr="008713D2">
          <w:rPr>
            <w:rStyle w:val="Hyperlink"/>
            <w:rFonts w:ascii="Arial" w:hAnsi="Arial" w:cs="Arial"/>
            <w:noProof/>
          </w:rPr>
          <w:t>1.</w:t>
        </w:r>
        <w:r w:rsidRPr="008713D2">
          <w:rPr>
            <w:rFonts w:ascii="Arial" w:eastAsiaTheme="minorEastAsia" w:hAnsi="Arial" w:cs="Arial"/>
            <w:noProof/>
            <w:sz w:val="22"/>
            <w:szCs w:val="22"/>
            <w:lang w:eastAsia="en-AU"/>
          </w:rPr>
          <w:tab/>
        </w:r>
        <w:r w:rsidRPr="008713D2">
          <w:rPr>
            <w:rStyle w:val="Hyperlink"/>
            <w:rFonts w:ascii="Arial" w:hAnsi="Arial" w:cs="Arial"/>
            <w:noProof/>
          </w:rPr>
          <w:t xml:space="preserve">About these </w:t>
        </w:r>
        <w:r w:rsidR="00AC3C65">
          <w:rPr>
            <w:rStyle w:val="Hyperlink"/>
            <w:rFonts w:ascii="Arial" w:hAnsi="Arial" w:cs="Arial"/>
            <w:noProof/>
          </w:rPr>
          <w:t>g</w:t>
        </w:r>
        <w:r w:rsidRPr="008713D2">
          <w:rPr>
            <w:rStyle w:val="Hyperlink"/>
            <w:rFonts w:ascii="Arial" w:hAnsi="Arial" w:cs="Arial"/>
            <w:noProof/>
          </w:rPr>
          <w:t>uidelines</w:t>
        </w:r>
        <w:r w:rsidRPr="008713D2">
          <w:rPr>
            <w:rFonts w:ascii="Arial" w:hAnsi="Arial" w:cs="Arial"/>
            <w:noProof/>
            <w:webHidden/>
          </w:rPr>
          <w:tab/>
        </w:r>
        <w:r w:rsidRPr="008713D2">
          <w:rPr>
            <w:rFonts w:ascii="Arial" w:hAnsi="Arial" w:cs="Arial"/>
            <w:noProof/>
            <w:webHidden/>
          </w:rPr>
          <w:fldChar w:fldCharType="begin"/>
        </w:r>
        <w:r w:rsidRPr="008713D2">
          <w:rPr>
            <w:rFonts w:ascii="Arial" w:hAnsi="Arial" w:cs="Arial"/>
            <w:noProof/>
            <w:webHidden/>
          </w:rPr>
          <w:instrText xml:space="preserve"> PAGEREF _Toc31884622 \h </w:instrText>
        </w:r>
        <w:r w:rsidRPr="008713D2">
          <w:rPr>
            <w:rFonts w:ascii="Arial" w:hAnsi="Arial" w:cs="Arial"/>
            <w:noProof/>
            <w:webHidden/>
          </w:rPr>
        </w:r>
        <w:r w:rsidRPr="008713D2">
          <w:rPr>
            <w:rFonts w:ascii="Arial" w:hAnsi="Arial" w:cs="Arial"/>
            <w:noProof/>
            <w:webHidden/>
          </w:rPr>
          <w:fldChar w:fldCharType="separate"/>
        </w:r>
        <w:r w:rsidR="00AC3C65">
          <w:rPr>
            <w:rFonts w:ascii="Arial" w:hAnsi="Arial" w:cs="Arial"/>
            <w:noProof/>
            <w:webHidden/>
          </w:rPr>
          <w:t>3</w:t>
        </w:r>
        <w:r w:rsidRPr="008713D2">
          <w:rPr>
            <w:rFonts w:ascii="Arial" w:hAnsi="Arial" w:cs="Arial"/>
            <w:noProof/>
            <w:webHidden/>
          </w:rPr>
          <w:fldChar w:fldCharType="end"/>
        </w:r>
      </w:hyperlink>
    </w:p>
    <w:p w14:paraId="7487FFD0" w14:textId="72F004C1"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23" w:history="1">
        <w:r w:rsidR="008713D2" w:rsidRPr="008713D2">
          <w:rPr>
            <w:rStyle w:val="Hyperlink"/>
            <w:rFonts w:ascii="Arial" w:hAnsi="Arial" w:cs="Arial"/>
            <w:noProof/>
          </w:rPr>
          <w:t>2.</w:t>
        </w:r>
        <w:r w:rsidR="008713D2" w:rsidRPr="008713D2">
          <w:rPr>
            <w:rFonts w:ascii="Arial" w:eastAsiaTheme="minorEastAsia" w:hAnsi="Arial" w:cs="Arial"/>
            <w:noProof/>
            <w:sz w:val="22"/>
            <w:szCs w:val="22"/>
            <w:lang w:eastAsia="en-AU"/>
          </w:rPr>
          <w:tab/>
        </w:r>
        <w:r w:rsidR="008713D2" w:rsidRPr="008713D2">
          <w:rPr>
            <w:rStyle w:val="Hyperlink"/>
            <w:rFonts w:ascii="Arial" w:hAnsi="Arial" w:cs="Arial"/>
            <w:noProof/>
          </w:rPr>
          <w:t xml:space="preserve">Strategic </w:t>
        </w:r>
        <w:r w:rsidR="00AC3C65">
          <w:rPr>
            <w:rStyle w:val="Hyperlink"/>
            <w:rFonts w:ascii="Arial" w:hAnsi="Arial" w:cs="Arial"/>
            <w:noProof/>
          </w:rPr>
          <w:t>c</w:t>
        </w:r>
        <w:r w:rsidR="008713D2" w:rsidRPr="008713D2">
          <w:rPr>
            <w:rStyle w:val="Hyperlink"/>
            <w:rFonts w:ascii="Arial" w:hAnsi="Arial" w:cs="Arial"/>
            <w:noProof/>
          </w:rPr>
          <w:t>ontext</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_Toc31884623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3</w:t>
        </w:r>
        <w:r w:rsidR="008713D2" w:rsidRPr="008713D2">
          <w:rPr>
            <w:rFonts w:ascii="Arial" w:hAnsi="Arial" w:cs="Arial"/>
            <w:noProof/>
            <w:webHidden/>
          </w:rPr>
          <w:fldChar w:fldCharType="end"/>
        </w:r>
      </w:hyperlink>
    </w:p>
    <w:p w14:paraId="206DCE2B" w14:textId="1DECDA48"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24" w:history="1">
        <w:r w:rsidR="008713D2" w:rsidRPr="008713D2">
          <w:rPr>
            <w:rStyle w:val="Hyperlink"/>
            <w:rFonts w:ascii="Arial" w:hAnsi="Arial" w:cs="Arial"/>
            <w:noProof/>
          </w:rPr>
          <w:t>3.</w:t>
        </w:r>
        <w:r w:rsidR="008713D2" w:rsidRPr="008713D2">
          <w:rPr>
            <w:rFonts w:ascii="Arial" w:eastAsiaTheme="minorEastAsia" w:hAnsi="Arial" w:cs="Arial"/>
            <w:noProof/>
            <w:sz w:val="22"/>
            <w:szCs w:val="22"/>
            <w:lang w:eastAsia="en-AU"/>
          </w:rPr>
          <w:tab/>
        </w:r>
        <w:r w:rsidR="008713D2" w:rsidRPr="008713D2">
          <w:rPr>
            <w:rStyle w:val="Hyperlink"/>
            <w:rFonts w:ascii="Arial" w:hAnsi="Arial" w:cs="Arial"/>
            <w:noProof/>
          </w:rPr>
          <w:t>Legislative requirements</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_Toc31884624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5</w:t>
        </w:r>
        <w:r w:rsidR="008713D2" w:rsidRPr="008713D2">
          <w:rPr>
            <w:rFonts w:ascii="Arial" w:hAnsi="Arial" w:cs="Arial"/>
            <w:noProof/>
            <w:webHidden/>
          </w:rPr>
          <w:fldChar w:fldCharType="end"/>
        </w:r>
      </w:hyperlink>
    </w:p>
    <w:p w14:paraId="2F8B07FC" w14:textId="74D940D8"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25" w:history="1">
        <w:r w:rsidR="008713D2" w:rsidRPr="008713D2">
          <w:rPr>
            <w:rStyle w:val="Hyperlink"/>
            <w:rFonts w:ascii="Arial" w:hAnsi="Arial" w:cs="Arial"/>
            <w:noProof/>
          </w:rPr>
          <w:t>4.</w:t>
        </w:r>
        <w:r w:rsidR="008713D2" w:rsidRPr="008713D2">
          <w:rPr>
            <w:rFonts w:ascii="Arial" w:eastAsiaTheme="minorEastAsia" w:hAnsi="Arial" w:cs="Arial"/>
            <w:noProof/>
            <w:sz w:val="22"/>
            <w:szCs w:val="22"/>
            <w:lang w:eastAsia="en-AU"/>
          </w:rPr>
          <w:tab/>
        </w:r>
        <w:r w:rsidR="008713D2" w:rsidRPr="008713D2">
          <w:rPr>
            <w:rStyle w:val="Hyperlink"/>
            <w:rFonts w:ascii="Arial" w:hAnsi="Arial" w:cs="Arial"/>
            <w:noProof/>
          </w:rPr>
          <w:t>Other legislation</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_Toc31884625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6</w:t>
        </w:r>
        <w:r w:rsidR="008713D2" w:rsidRPr="008713D2">
          <w:rPr>
            <w:rFonts w:ascii="Arial" w:hAnsi="Arial" w:cs="Arial"/>
            <w:noProof/>
            <w:webHidden/>
          </w:rPr>
          <w:fldChar w:fldCharType="end"/>
        </w:r>
      </w:hyperlink>
    </w:p>
    <w:p w14:paraId="03BE2984" w14:textId="16C29CC1"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26" w:history="1">
        <w:r w:rsidR="008713D2" w:rsidRPr="008713D2">
          <w:rPr>
            <w:rStyle w:val="Hyperlink"/>
            <w:rFonts w:ascii="Arial" w:hAnsi="Arial" w:cs="Arial"/>
            <w:noProof/>
          </w:rPr>
          <w:t>5.</w:t>
        </w:r>
        <w:r w:rsidR="008713D2" w:rsidRPr="008713D2">
          <w:rPr>
            <w:rFonts w:ascii="Arial" w:eastAsiaTheme="minorEastAsia" w:hAnsi="Arial" w:cs="Arial"/>
            <w:noProof/>
            <w:sz w:val="22"/>
            <w:szCs w:val="22"/>
            <w:lang w:eastAsia="en-AU"/>
          </w:rPr>
          <w:tab/>
        </w:r>
        <w:r w:rsidR="008713D2" w:rsidRPr="008713D2">
          <w:rPr>
            <w:rStyle w:val="Hyperlink"/>
            <w:rFonts w:ascii="Arial" w:hAnsi="Arial" w:cs="Arial"/>
            <w:noProof/>
          </w:rPr>
          <w:t>Planning for your DAIP</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_Toc31884626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7</w:t>
        </w:r>
        <w:r w:rsidR="008713D2" w:rsidRPr="008713D2">
          <w:rPr>
            <w:rFonts w:ascii="Arial" w:hAnsi="Arial" w:cs="Arial"/>
            <w:noProof/>
            <w:webHidden/>
          </w:rPr>
          <w:fldChar w:fldCharType="end"/>
        </w:r>
      </w:hyperlink>
    </w:p>
    <w:p w14:paraId="314B4DB3" w14:textId="19D42F00"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27" w:history="1">
        <w:r w:rsidR="008713D2" w:rsidRPr="008713D2">
          <w:rPr>
            <w:rStyle w:val="Hyperlink"/>
            <w:rFonts w:ascii="Arial" w:hAnsi="Arial" w:cs="Arial"/>
            <w:noProof/>
          </w:rPr>
          <w:t>6.</w:t>
        </w:r>
        <w:r w:rsidR="008713D2" w:rsidRPr="008713D2">
          <w:rPr>
            <w:rFonts w:ascii="Arial" w:eastAsiaTheme="minorEastAsia" w:hAnsi="Arial" w:cs="Arial"/>
            <w:noProof/>
            <w:sz w:val="22"/>
            <w:szCs w:val="22"/>
            <w:lang w:eastAsia="en-AU"/>
          </w:rPr>
          <w:tab/>
        </w:r>
        <w:r w:rsidR="008713D2" w:rsidRPr="008713D2">
          <w:rPr>
            <w:rStyle w:val="Hyperlink"/>
            <w:rFonts w:ascii="Arial" w:hAnsi="Arial" w:cs="Arial"/>
            <w:noProof/>
          </w:rPr>
          <w:t>The DAIP Template</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_Toc31884627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11</w:t>
        </w:r>
        <w:r w:rsidR="008713D2" w:rsidRPr="008713D2">
          <w:rPr>
            <w:rFonts w:ascii="Arial" w:hAnsi="Arial" w:cs="Arial"/>
            <w:noProof/>
            <w:webHidden/>
          </w:rPr>
          <w:fldChar w:fldCharType="end"/>
        </w:r>
      </w:hyperlink>
    </w:p>
    <w:p w14:paraId="30F08DF7" w14:textId="525D53B0"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28" w:history="1">
        <w:r w:rsidR="008713D2" w:rsidRPr="008713D2">
          <w:rPr>
            <w:rStyle w:val="Hyperlink"/>
            <w:rFonts w:ascii="Arial" w:hAnsi="Arial" w:cs="Arial"/>
            <w:noProof/>
          </w:rPr>
          <w:t>7.</w:t>
        </w:r>
        <w:r w:rsidR="008713D2" w:rsidRPr="008713D2">
          <w:rPr>
            <w:rFonts w:ascii="Arial" w:eastAsiaTheme="minorEastAsia" w:hAnsi="Arial" w:cs="Arial"/>
            <w:noProof/>
            <w:sz w:val="22"/>
            <w:szCs w:val="22"/>
            <w:lang w:eastAsia="en-AU"/>
          </w:rPr>
          <w:tab/>
        </w:r>
        <w:r w:rsidR="008713D2" w:rsidRPr="008713D2">
          <w:rPr>
            <w:rStyle w:val="Hyperlink"/>
            <w:rFonts w:ascii="Arial" w:hAnsi="Arial" w:cs="Arial"/>
            <w:noProof/>
          </w:rPr>
          <w:t>Glossary of definitions and acronyms</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_Toc31884628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12</w:t>
        </w:r>
        <w:r w:rsidR="008713D2" w:rsidRPr="008713D2">
          <w:rPr>
            <w:rFonts w:ascii="Arial" w:hAnsi="Arial" w:cs="Arial"/>
            <w:noProof/>
            <w:webHidden/>
          </w:rPr>
          <w:fldChar w:fldCharType="end"/>
        </w:r>
      </w:hyperlink>
    </w:p>
    <w:p w14:paraId="17831094" w14:textId="4A257BB0"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29" w:history="1">
        <w:r w:rsidR="008713D2" w:rsidRPr="008713D2">
          <w:rPr>
            <w:rStyle w:val="Hyperlink"/>
            <w:rFonts w:ascii="Arial" w:hAnsi="Arial" w:cs="Arial"/>
            <w:noProof/>
          </w:rPr>
          <w:t>Appendix One: DAIP Checklist</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_Toc31884629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13</w:t>
        </w:r>
        <w:r w:rsidR="008713D2" w:rsidRPr="008713D2">
          <w:rPr>
            <w:rFonts w:ascii="Arial" w:hAnsi="Arial" w:cs="Arial"/>
            <w:noProof/>
            <w:webHidden/>
          </w:rPr>
          <w:fldChar w:fldCharType="end"/>
        </w:r>
      </w:hyperlink>
    </w:p>
    <w:p w14:paraId="1A1FBB0F" w14:textId="73C3A476" w:rsidR="008713D2" w:rsidRPr="008713D2" w:rsidRDefault="002B4CE4" w:rsidP="00763113">
      <w:pPr>
        <w:pStyle w:val="TOC1"/>
        <w:tabs>
          <w:tab w:val="left" w:pos="480"/>
          <w:tab w:val="right" w:pos="5245"/>
        </w:tabs>
        <w:spacing w:after="240"/>
        <w:ind w:right="4393"/>
        <w:rPr>
          <w:rFonts w:ascii="Arial" w:eastAsiaTheme="minorEastAsia" w:hAnsi="Arial" w:cs="Arial"/>
          <w:noProof/>
          <w:sz w:val="22"/>
          <w:szCs w:val="22"/>
          <w:lang w:eastAsia="en-AU"/>
        </w:rPr>
      </w:pPr>
      <w:hyperlink w:anchor="_Toc31884630" w:history="1">
        <w:r w:rsidR="008713D2" w:rsidRPr="008713D2">
          <w:rPr>
            <w:rStyle w:val="Hyperlink"/>
            <w:rFonts w:ascii="Arial" w:hAnsi="Arial" w:cs="Arial"/>
            <w:noProof/>
          </w:rPr>
          <w:t>Appendix Two: Useful Resources</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_Toc31884630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14</w:t>
        </w:r>
        <w:r w:rsidR="008713D2" w:rsidRPr="008713D2">
          <w:rPr>
            <w:rFonts w:ascii="Arial" w:hAnsi="Arial" w:cs="Arial"/>
            <w:noProof/>
            <w:webHidden/>
          </w:rPr>
          <w:fldChar w:fldCharType="end"/>
        </w:r>
      </w:hyperlink>
    </w:p>
    <w:p w14:paraId="4E57F841" w14:textId="327A6B53" w:rsidR="008713D2" w:rsidRPr="008713D2" w:rsidRDefault="002B4CE4" w:rsidP="00763113">
      <w:pPr>
        <w:pStyle w:val="TOC2"/>
        <w:tabs>
          <w:tab w:val="right" w:pos="5245"/>
        </w:tabs>
        <w:spacing w:after="240"/>
        <w:ind w:right="4393"/>
        <w:rPr>
          <w:rFonts w:ascii="Arial" w:eastAsiaTheme="minorEastAsia" w:hAnsi="Arial" w:cs="Arial"/>
          <w:noProof/>
          <w:sz w:val="22"/>
          <w:szCs w:val="22"/>
          <w:lang w:eastAsia="en-AU"/>
        </w:rPr>
      </w:pPr>
      <w:hyperlink w:anchor="_Toc31884631" w:history="1">
        <w:r w:rsidR="008713D2" w:rsidRPr="008713D2">
          <w:rPr>
            <w:rStyle w:val="Hyperlink"/>
            <w:rFonts w:ascii="Arial" w:hAnsi="Arial" w:cs="Arial"/>
            <w:noProof/>
          </w:rPr>
          <w:t>International</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_Toc31884631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14</w:t>
        </w:r>
        <w:r w:rsidR="008713D2" w:rsidRPr="008713D2">
          <w:rPr>
            <w:rFonts w:ascii="Arial" w:hAnsi="Arial" w:cs="Arial"/>
            <w:noProof/>
            <w:webHidden/>
          </w:rPr>
          <w:fldChar w:fldCharType="end"/>
        </w:r>
      </w:hyperlink>
    </w:p>
    <w:p w14:paraId="1FDBAC3C" w14:textId="09672BB4" w:rsidR="008713D2" w:rsidRPr="008713D2" w:rsidRDefault="002B4CE4" w:rsidP="00763113">
      <w:pPr>
        <w:pStyle w:val="TOC2"/>
        <w:tabs>
          <w:tab w:val="right" w:pos="5245"/>
        </w:tabs>
        <w:spacing w:after="240"/>
        <w:ind w:right="4393"/>
        <w:rPr>
          <w:rFonts w:ascii="Arial" w:eastAsiaTheme="minorEastAsia" w:hAnsi="Arial" w:cs="Arial"/>
          <w:noProof/>
          <w:sz w:val="22"/>
          <w:szCs w:val="22"/>
          <w:lang w:eastAsia="en-AU"/>
        </w:rPr>
      </w:pPr>
      <w:hyperlink w:anchor="_Toc31884632" w:history="1">
        <w:r w:rsidR="008713D2" w:rsidRPr="008713D2">
          <w:rPr>
            <w:rStyle w:val="Hyperlink"/>
            <w:rFonts w:ascii="Arial" w:hAnsi="Arial" w:cs="Arial"/>
            <w:noProof/>
          </w:rPr>
          <w:t>National</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_Toc31884632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14</w:t>
        </w:r>
        <w:r w:rsidR="008713D2" w:rsidRPr="008713D2">
          <w:rPr>
            <w:rFonts w:ascii="Arial" w:hAnsi="Arial" w:cs="Arial"/>
            <w:noProof/>
            <w:webHidden/>
          </w:rPr>
          <w:fldChar w:fldCharType="end"/>
        </w:r>
      </w:hyperlink>
    </w:p>
    <w:p w14:paraId="496B2C60" w14:textId="7E04B3A3" w:rsidR="008713D2" w:rsidRPr="008713D2" w:rsidRDefault="002B4CE4" w:rsidP="00763113">
      <w:pPr>
        <w:pStyle w:val="TOC2"/>
        <w:tabs>
          <w:tab w:val="right" w:pos="5245"/>
        </w:tabs>
        <w:spacing w:after="240"/>
        <w:ind w:right="4393"/>
        <w:rPr>
          <w:rFonts w:ascii="Arial" w:eastAsiaTheme="minorEastAsia" w:hAnsi="Arial" w:cs="Arial"/>
          <w:noProof/>
          <w:sz w:val="22"/>
          <w:szCs w:val="22"/>
          <w:lang w:eastAsia="en-AU"/>
        </w:rPr>
      </w:pPr>
      <w:hyperlink w:anchor="_Toc31884633" w:history="1">
        <w:r w:rsidR="008713D2" w:rsidRPr="008713D2">
          <w:rPr>
            <w:rStyle w:val="Hyperlink"/>
            <w:rFonts w:ascii="Arial" w:hAnsi="Arial" w:cs="Arial"/>
            <w:noProof/>
          </w:rPr>
          <w:t>South Australia</w:t>
        </w:r>
        <w:r w:rsidR="008713D2" w:rsidRPr="008713D2">
          <w:rPr>
            <w:rFonts w:ascii="Arial" w:hAnsi="Arial" w:cs="Arial"/>
            <w:noProof/>
            <w:webHidden/>
          </w:rPr>
          <w:tab/>
        </w:r>
        <w:r w:rsidR="008713D2" w:rsidRPr="008713D2">
          <w:rPr>
            <w:rFonts w:ascii="Arial" w:hAnsi="Arial" w:cs="Arial"/>
            <w:noProof/>
            <w:webHidden/>
          </w:rPr>
          <w:fldChar w:fldCharType="begin"/>
        </w:r>
        <w:r w:rsidR="008713D2" w:rsidRPr="008713D2">
          <w:rPr>
            <w:rFonts w:ascii="Arial" w:hAnsi="Arial" w:cs="Arial"/>
            <w:noProof/>
            <w:webHidden/>
          </w:rPr>
          <w:instrText xml:space="preserve"> PAGEREF _Toc31884633 \h </w:instrText>
        </w:r>
        <w:r w:rsidR="008713D2" w:rsidRPr="008713D2">
          <w:rPr>
            <w:rFonts w:ascii="Arial" w:hAnsi="Arial" w:cs="Arial"/>
            <w:noProof/>
            <w:webHidden/>
          </w:rPr>
        </w:r>
        <w:r w:rsidR="008713D2" w:rsidRPr="008713D2">
          <w:rPr>
            <w:rFonts w:ascii="Arial" w:hAnsi="Arial" w:cs="Arial"/>
            <w:noProof/>
            <w:webHidden/>
          </w:rPr>
          <w:fldChar w:fldCharType="separate"/>
        </w:r>
        <w:r w:rsidR="00AC3C65">
          <w:rPr>
            <w:rFonts w:ascii="Arial" w:hAnsi="Arial" w:cs="Arial"/>
            <w:noProof/>
            <w:webHidden/>
          </w:rPr>
          <w:t>14</w:t>
        </w:r>
        <w:r w:rsidR="008713D2" w:rsidRPr="008713D2">
          <w:rPr>
            <w:rFonts w:ascii="Arial" w:hAnsi="Arial" w:cs="Arial"/>
            <w:noProof/>
            <w:webHidden/>
          </w:rPr>
          <w:fldChar w:fldCharType="end"/>
        </w:r>
      </w:hyperlink>
    </w:p>
    <w:p w14:paraId="47BB7C3C" w14:textId="7A6239B8" w:rsidR="00F64BF4" w:rsidRPr="00F64BF4" w:rsidRDefault="008713D2" w:rsidP="00AC3C65">
      <w:pPr>
        <w:spacing w:after="240"/>
        <w:ind w:right="5385"/>
      </w:pPr>
      <w:r w:rsidRPr="008713D2">
        <w:rPr>
          <w:rFonts w:ascii="Arial" w:hAnsi="Arial" w:cs="Arial"/>
        </w:rPr>
        <w:fldChar w:fldCharType="end"/>
      </w:r>
      <w:r w:rsidR="00F64BF4" w:rsidRPr="00F64BF4">
        <w:br w:type="page"/>
      </w:r>
    </w:p>
    <w:p w14:paraId="0A408513" w14:textId="31E80097" w:rsidR="00BB412C" w:rsidRPr="00586F9A" w:rsidRDefault="00BB412C" w:rsidP="00763113">
      <w:pPr>
        <w:pStyle w:val="Heading2"/>
      </w:pPr>
      <w:bookmarkStart w:id="0" w:name="_Toc31884622"/>
      <w:r w:rsidRPr="00586F9A">
        <w:lastRenderedPageBreak/>
        <w:t xml:space="preserve">About these </w:t>
      </w:r>
      <w:r w:rsidR="00966047" w:rsidRPr="00E1601C">
        <w:t>g</w:t>
      </w:r>
      <w:r w:rsidRPr="00586F9A">
        <w:t>uidelines</w:t>
      </w:r>
      <w:bookmarkEnd w:id="0"/>
    </w:p>
    <w:p w14:paraId="6B32801A" w14:textId="77777777" w:rsidR="00BB412C" w:rsidRPr="00F64BF4" w:rsidRDefault="00BB412C" w:rsidP="00F64BF4">
      <w:pPr>
        <w:pStyle w:val="Body-Text"/>
      </w:pPr>
      <w:r w:rsidRPr="00F64BF4">
        <w:t>Developing a DAIP demonstrates that a State authority recognises the importance of inclusion and access for everyone, has a welcoming attitude towards a diverse range of people and has employees who are aware of the needs of people living with disability</w:t>
      </w:r>
    </w:p>
    <w:p w14:paraId="51EED8DC" w14:textId="7621010E" w:rsidR="00BB412C" w:rsidRPr="00F64BF4" w:rsidRDefault="00BB412C" w:rsidP="00F64BF4">
      <w:pPr>
        <w:pStyle w:val="Body-Text"/>
      </w:pPr>
      <w:r w:rsidRPr="00F64BF4">
        <w:t>Ensuring that the rights of people living with disability are upheld is the responsibility of the whole community. People living with disability should be able to access and participate in all aspects of our society, including using mainstream services and programs. Social inclusion is fundamental to a person’s quality of life and critical to achieving positive life outcomes across all areas.</w:t>
      </w:r>
    </w:p>
    <w:p w14:paraId="1B168108" w14:textId="77777777" w:rsidR="00BB412C" w:rsidRPr="00F64BF4" w:rsidRDefault="00BB412C" w:rsidP="00F64BF4">
      <w:pPr>
        <w:pStyle w:val="Body-Text"/>
      </w:pPr>
      <w:r w:rsidRPr="00F64BF4">
        <w:t xml:space="preserve">These DAIP guidelines, and other resources within the DAIP toolkit, will assist State authorities to develop and implement a DAIP and meet the requirements set out in the </w:t>
      </w:r>
      <w:r w:rsidRPr="00E259E8">
        <w:rPr>
          <w:i/>
          <w:iCs/>
        </w:rPr>
        <w:t>Disability Inclusion Act 2018</w:t>
      </w:r>
      <w:r w:rsidRPr="00F64BF4">
        <w:t xml:space="preserve"> (SA).</w:t>
      </w:r>
    </w:p>
    <w:p w14:paraId="1FF51B1F" w14:textId="6ADFFC69" w:rsidR="00BB412C" w:rsidRPr="00F64BF4" w:rsidRDefault="00BB412C" w:rsidP="00F64BF4">
      <w:pPr>
        <w:pStyle w:val="Body-Text"/>
      </w:pPr>
      <w:r w:rsidRPr="00F64BF4">
        <w:t>The guidelines also encourage consistency in presentation and reporting by providing a common methodology that reflects the current direction of disability policy</w:t>
      </w:r>
      <w:r w:rsidR="00E259E8">
        <w:t xml:space="preserve"> —</w:t>
      </w:r>
      <w:r w:rsidRPr="00F64BF4">
        <w:t xml:space="preserve"> a</w:t>
      </w:r>
      <w:r w:rsidR="00763113">
        <w:t> </w:t>
      </w:r>
      <w:r w:rsidRPr="00F64BF4">
        <w:t>rights</w:t>
      </w:r>
      <w:r w:rsidR="00763113">
        <w:noBreakHyphen/>
      </w:r>
      <w:r w:rsidRPr="00F64BF4">
        <w:t>based approach that supports individual choice and control.</w:t>
      </w:r>
    </w:p>
    <w:p w14:paraId="0588C15F" w14:textId="2C6B79CC" w:rsidR="00BB412C" w:rsidRPr="00F64BF4" w:rsidRDefault="00BB412C" w:rsidP="00763113">
      <w:pPr>
        <w:pStyle w:val="Heading2"/>
      </w:pPr>
      <w:bookmarkStart w:id="1" w:name="_Toc31884623"/>
      <w:r w:rsidRPr="00F64BF4">
        <w:t xml:space="preserve">Strategic </w:t>
      </w:r>
      <w:r w:rsidR="00966047">
        <w:t>c</w:t>
      </w:r>
      <w:r w:rsidRPr="00F64BF4">
        <w:t>ontext</w:t>
      </w:r>
      <w:bookmarkEnd w:id="1"/>
    </w:p>
    <w:p w14:paraId="36ECB80E" w14:textId="4B26DDCF" w:rsidR="00BB412C" w:rsidRPr="00F64BF4" w:rsidRDefault="00BB412C" w:rsidP="00F64BF4">
      <w:pPr>
        <w:pStyle w:val="Body-Text"/>
      </w:pPr>
      <w:r w:rsidRPr="00F64BF4">
        <w:t xml:space="preserve">In 2018, the </w:t>
      </w:r>
      <w:r w:rsidRPr="00AA6BF4">
        <w:rPr>
          <w:i/>
          <w:iCs/>
        </w:rPr>
        <w:t>Disability Inclusion Act 2018</w:t>
      </w:r>
      <w:r w:rsidRPr="00AA6BF4">
        <w:t xml:space="preserve"> (SA)</w:t>
      </w:r>
      <w:r w:rsidRPr="00F64BF4">
        <w:t xml:space="preserve"> (the Act) was passed because the South Australian Government recognised that a stronger commitment to access and inclusion planning for people living with disability was needed.</w:t>
      </w:r>
    </w:p>
    <w:p w14:paraId="513F0ECA" w14:textId="11B3C598" w:rsidR="00BB412C" w:rsidRPr="00F64BF4" w:rsidRDefault="00BB412C" w:rsidP="00F64BF4">
      <w:pPr>
        <w:pStyle w:val="Body-Text"/>
      </w:pPr>
      <w:r w:rsidRPr="00F64BF4">
        <w:t xml:space="preserve">The Act supports the </w:t>
      </w:r>
      <w:r w:rsidRPr="00AA6BF4">
        <w:t xml:space="preserve">United Nations Convention on the Rights of Persons with Disabilities </w:t>
      </w:r>
      <w:r w:rsidRPr="00F64BF4">
        <w:t>(UNCRPD), acknowledging that people living with disability have the same human rights as other members of the community and that the State and the community have a responsibility to facilitate the exercise of those rights. The UNCRPD is underpinned by eight guiding principles based on respect, equality and non-discrimination and was ratified by Australia in 2008, and the Optional Protocol signed by Australia in 2009.</w:t>
      </w:r>
    </w:p>
    <w:p w14:paraId="2AD29623" w14:textId="55DA1088" w:rsidR="00BB412C" w:rsidRPr="00F64BF4" w:rsidRDefault="00BB412C" w:rsidP="00F64BF4">
      <w:pPr>
        <w:pStyle w:val="Body-Text"/>
      </w:pPr>
      <w:r w:rsidRPr="00F64BF4">
        <w:t xml:space="preserve">The </w:t>
      </w:r>
      <w:r w:rsidRPr="00E1601C">
        <w:rPr>
          <w:iCs/>
        </w:rPr>
        <w:t>National Disability Strategy</w:t>
      </w:r>
      <w:r w:rsidRPr="00AA6BF4">
        <w:t xml:space="preserve"> (NDS)</w:t>
      </w:r>
      <w:r w:rsidRPr="00F64BF4">
        <w:t xml:space="preserve"> is a coordinated plan across all levels of government to improve the lives of people living with disability, their families and carers. The NDS is Australia’s response to the UNCRPD and is designed to ensure the principles of the UNCRPD are incorporated into policies and programs across Australia. Currently, the Commonwealth and State and Territory Governments are working towards developing a new national disability strategy for beyond 2020.</w:t>
      </w:r>
    </w:p>
    <w:p w14:paraId="12C549D1" w14:textId="7B27396A" w:rsidR="00BB412C" w:rsidRPr="00F64BF4" w:rsidRDefault="00BB412C" w:rsidP="00F64BF4">
      <w:pPr>
        <w:pStyle w:val="Body-Text"/>
      </w:pPr>
      <w:r w:rsidRPr="00F64BF4">
        <w:t>Areas of policy action under the NDS are:</w:t>
      </w:r>
    </w:p>
    <w:p w14:paraId="35AD93D8" w14:textId="77777777" w:rsidR="00BB412C" w:rsidRPr="00DA5CE8" w:rsidRDefault="00BB412C" w:rsidP="00DA5CE8">
      <w:pPr>
        <w:pStyle w:val="Bullet-Numbers"/>
      </w:pPr>
      <w:r w:rsidRPr="00DA5CE8">
        <w:t>Inclusive and accessible communities</w:t>
      </w:r>
    </w:p>
    <w:p w14:paraId="5F0D92CB" w14:textId="77777777" w:rsidR="00BB412C" w:rsidRPr="00F64BF4" w:rsidRDefault="00BB412C" w:rsidP="00DA5CE8">
      <w:pPr>
        <w:pStyle w:val="Bullet-Numbers"/>
      </w:pPr>
      <w:r w:rsidRPr="00F64BF4">
        <w:t>Rights protection, justice and legislation</w:t>
      </w:r>
    </w:p>
    <w:p w14:paraId="26C560F8" w14:textId="77777777" w:rsidR="00BB412C" w:rsidRPr="00F64BF4" w:rsidRDefault="00BB412C" w:rsidP="00DA5CE8">
      <w:pPr>
        <w:pStyle w:val="Bullet-Numbers"/>
      </w:pPr>
      <w:r w:rsidRPr="00F64BF4">
        <w:t>Economic security</w:t>
      </w:r>
    </w:p>
    <w:p w14:paraId="7D25E128" w14:textId="77777777" w:rsidR="00BB412C" w:rsidRPr="00F64BF4" w:rsidRDefault="00BB412C" w:rsidP="00DA5CE8">
      <w:pPr>
        <w:pStyle w:val="Bullet-Numbers"/>
      </w:pPr>
      <w:r w:rsidRPr="00F64BF4">
        <w:t>Personal and community support</w:t>
      </w:r>
    </w:p>
    <w:p w14:paraId="313BBE48" w14:textId="77777777" w:rsidR="00BB412C" w:rsidRPr="00F64BF4" w:rsidRDefault="00BB412C" w:rsidP="00DA5CE8">
      <w:pPr>
        <w:pStyle w:val="Bullet-Numbers"/>
      </w:pPr>
      <w:r w:rsidRPr="00F64BF4">
        <w:t>Learning and skills</w:t>
      </w:r>
    </w:p>
    <w:p w14:paraId="5BFFA8A5" w14:textId="2DE3420E" w:rsidR="00BB412C" w:rsidRPr="00F64BF4" w:rsidRDefault="00BB412C" w:rsidP="00DA5CE8">
      <w:pPr>
        <w:pStyle w:val="Bullet-Numbers"/>
      </w:pPr>
      <w:r w:rsidRPr="00F64BF4">
        <w:t>Health and wellbeing</w:t>
      </w:r>
      <w:r w:rsidR="00763113">
        <w:t>.</w:t>
      </w:r>
    </w:p>
    <w:p w14:paraId="79F5AFA2" w14:textId="3CF98A27" w:rsidR="00BB412C" w:rsidRPr="00F64BF4" w:rsidRDefault="00BB412C" w:rsidP="00F64BF4">
      <w:pPr>
        <w:pStyle w:val="Body-Text"/>
      </w:pPr>
      <w:r w:rsidRPr="00AA6BF4">
        <w:rPr>
          <w:i/>
          <w:iCs/>
        </w:rPr>
        <w:t xml:space="preserve">Inclusive SA: State Disability Inclusion Plan 2019 </w:t>
      </w:r>
      <w:r w:rsidR="00067A11" w:rsidRPr="00AA6BF4">
        <w:rPr>
          <w:i/>
          <w:iCs/>
        </w:rPr>
        <w:t xml:space="preserve">– </w:t>
      </w:r>
      <w:r w:rsidRPr="00AA6BF4">
        <w:rPr>
          <w:i/>
          <w:iCs/>
        </w:rPr>
        <w:t>2023</w:t>
      </w:r>
      <w:r w:rsidRPr="00F64BF4">
        <w:t xml:space="preserve"> (the State Plan) was released on 31 October 2019. It was developed following community and sector consultation. The themes within the State Plan are:</w:t>
      </w:r>
    </w:p>
    <w:p w14:paraId="615FD70E" w14:textId="77777777" w:rsidR="00BB412C" w:rsidRPr="00F64BF4" w:rsidRDefault="00BB412C" w:rsidP="00DA5CE8">
      <w:pPr>
        <w:pStyle w:val="Bullet-Numbers"/>
        <w:numPr>
          <w:ilvl w:val="0"/>
          <w:numId w:val="2"/>
        </w:numPr>
        <w:ind w:left="567" w:hanging="567"/>
      </w:pPr>
      <w:r w:rsidRPr="00F64BF4">
        <w:t>Inclusive communities for all</w:t>
      </w:r>
    </w:p>
    <w:p w14:paraId="34CA2202" w14:textId="77777777" w:rsidR="00BB412C" w:rsidRPr="00F64BF4" w:rsidRDefault="00BB412C" w:rsidP="00DA5CE8">
      <w:pPr>
        <w:pStyle w:val="Bullet-Numbers"/>
        <w:numPr>
          <w:ilvl w:val="0"/>
          <w:numId w:val="2"/>
        </w:numPr>
        <w:ind w:left="567" w:hanging="567"/>
      </w:pPr>
      <w:r w:rsidRPr="00F64BF4">
        <w:t>Leadership and collaboration</w:t>
      </w:r>
    </w:p>
    <w:p w14:paraId="49876C1C" w14:textId="77777777" w:rsidR="00BB412C" w:rsidRPr="00F64BF4" w:rsidRDefault="00BB412C" w:rsidP="00DA5CE8">
      <w:pPr>
        <w:pStyle w:val="Bullet-Numbers"/>
        <w:numPr>
          <w:ilvl w:val="0"/>
          <w:numId w:val="2"/>
        </w:numPr>
        <w:ind w:left="567" w:hanging="567"/>
      </w:pPr>
      <w:r w:rsidRPr="00F64BF4">
        <w:lastRenderedPageBreak/>
        <w:t>Accessible communities</w:t>
      </w:r>
    </w:p>
    <w:p w14:paraId="6B4B4FA7" w14:textId="73FF06D6" w:rsidR="00BB412C" w:rsidRPr="00F64BF4" w:rsidRDefault="00BB412C" w:rsidP="00DA5CE8">
      <w:pPr>
        <w:pStyle w:val="Bullet-Numbers"/>
        <w:numPr>
          <w:ilvl w:val="0"/>
          <w:numId w:val="2"/>
        </w:numPr>
        <w:ind w:left="567" w:hanging="567"/>
      </w:pPr>
      <w:r w:rsidRPr="00F64BF4">
        <w:t>Learning and employment</w:t>
      </w:r>
      <w:r w:rsidR="00966047">
        <w:t>.</w:t>
      </w:r>
    </w:p>
    <w:p w14:paraId="223818D0" w14:textId="79B56A51" w:rsidR="00BB412C" w:rsidRPr="00F64BF4" w:rsidRDefault="00BB412C" w:rsidP="00F64BF4">
      <w:pPr>
        <w:pStyle w:val="Body-Text"/>
      </w:pPr>
      <w:r w:rsidRPr="00F64BF4">
        <w:t xml:space="preserve">The State Plan is a requirement of the Act and sets a framework to support State authorities to implement the </w:t>
      </w:r>
      <w:r w:rsidRPr="00E1601C">
        <w:t>National Disability Strategy 2010</w:t>
      </w:r>
      <w:r w:rsidR="00763113" w:rsidRPr="00E1601C">
        <w:t>–</w:t>
      </w:r>
      <w:r w:rsidRPr="00E1601C">
        <w:t>2020</w:t>
      </w:r>
      <w:r w:rsidRPr="00F64BF4">
        <w:t xml:space="preserve"> (NDS).</w:t>
      </w:r>
    </w:p>
    <w:p w14:paraId="00C5B8A2" w14:textId="15FB80D4" w:rsidR="00067A11" w:rsidRDefault="00BB412C" w:rsidP="00F64BF4">
      <w:pPr>
        <w:pStyle w:val="Body-Text"/>
      </w:pPr>
      <w:r w:rsidRPr="00F64BF4">
        <w:t xml:space="preserve">The annual reporting against the State Plan will align the South Australian Government’s achievements against the NDS’s areas of policy action. </w:t>
      </w:r>
    </w:p>
    <w:p w14:paraId="4EA30A3E" w14:textId="14B7523F" w:rsidR="00BB412C" w:rsidRDefault="00BB412C" w:rsidP="00763113">
      <w:pPr>
        <w:pStyle w:val="Heading3"/>
      </w:pPr>
      <w:r w:rsidRPr="00F64BF4">
        <w:t>2.1 Strategic alignment of Disability Access and Inclusion Plans</w:t>
      </w:r>
    </w:p>
    <w:p w14:paraId="57DAEBAA" w14:textId="228FDA20" w:rsidR="00F45892" w:rsidRPr="00F64BF4" w:rsidRDefault="00F45892" w:rsidP="00F64BF4">
      <w:pPr>
        <w:pStyle w:val="Body-Text"/>
      </w:pPr>
      <w:r w:rsidRPr="00E1601C">
        <w:rPr>
          <w:noProof/>
          <w:lang w:val="en-US"/>
        </w:rPr>
        <w:drawing>
          <wp:inline distT="0" distB="0" distL="0" distR="0" wp14:anchorId="03AFB513" wp14:editId="21FCA900">
            <wp:extent cx="5361305" cy="5285740"/>
            <wp:effectExtent l="0" t="0" r="0" b="0"/>
            <wp:docPr id="2" name="Picture 2" descr="A diagram of the Strategic alignment of Disability Access and Inclusion Plans, which are: International - International United Nations Convention on the Rights of Persons with Disabilities. National - 1. National Disability Strategy 2010 – 2020, 2. National Disability Insurance Scheme and 3. National Disability Agreement.  State -  1. Disability Inclusion Act 2018; 2. State Disability Inclusion Plan 2019 – 2023 and 3. Disability Access and Inclusion Plans 2020 –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of the Strategic allignment of Disability Access and Inlcusion Plans, which are: International - International United Nations Convention on the Rights of Persons with Disabilities. National - 1. National Disability Stategy 2010 – 2020, 2. National Disability Insurance Scheme and 3. National Disability Agreement.  State -  1. Disability Inclusion Act 2018; 2. State Disability Inclusion Plan 2019 – 2023 and 3. Disability Access and Inclusion Plans 2020 – 2024."/>
                    <pic:cNvPicPr>
                      <a:picLocks noChangeAspect="1" noChangeArrowheads="1"/>
                    </pic:cNvPicPr>
                  </pic:nvPicPr>
                  <pic:blipFill>
                    <a:blip r:embed="rId12" cstate="print">
                      <a:extLst>
                        <a:ext uri="{28A0092B-C50C-407E-A947-70E740481C1C}">
                          <a14:useLocalDpi xmlns:a14="http://schemas.microsoft.com/office/drawing/2010/main" val="0"/>
                        </a:ext>
                      </a:extLst>
                    </a:blip>
                    <a:srcRect l="6262" t="4333" r="6329" b="34671"/>
                    <a:stretch>
                      <a:fillRect/>
                    </a:stretch>
                  </pic:blipFill>
                  <pic:spPr bwMode="auto">
                    <a:xfrm>
                      <a:off x="0" y="0"/>
                      <a:ext cx="5361305" cy="5285740"/>
                    </a:xfrm>
                    <a:prstGeom prst="rect">
                      <a:avLst/>
                    </a:prstGeom>
                    <a:noFill/>
                    <a:ln>
                      <a:noFill/>
                    </a:ln>
                  </pic:spPr>
                </pic:pic>
              </a:graphicData>
            </a:graphic>
          </wp:inline>
        </w:drawing>
      </w:r>
    </w:p>
    <w:p w14:paraId="32E01686" w14:textId="77777777" w:rsidR="00067A11" w:rsidRDefault="00067A11">
      <w:pPr>
        <w:rPr>
          <w:rFonts w:ascii="Arial" w:eastAsiaTheme="majorEastAsia" w:hAnsi="Arial" w:cs="Arial"/>
          <w:b/>
          <w:bCs/>
          <w:color w:val="000000" w:themeColor="text1"/>
          <w:sz w:val="32"/>
          <w:szCs w:val="32"/>
        </w:rPr>
      </w:pPr>
      <w:r>
        <w:br w:type="page"/>
      </w:r>
    </w:p>
    <w:p w14:paraId="591C23B1" w14:textId="04650792" w:rsidR="00BB412C" w:rsidRPr="00F64BF4" w:rsidRDefault="00BB412C" w:rsidP="00763113">
      <w:pPr>
        <w:pStyle w:val="Heading2"/>
      </w:pPr>
      <w:bookmarkStart w:id="2" w:name="_Toc31884624"/>
      <w:r w:rsidRPr="00F64BF4">
        <w:lastRenderedPageBreak/>
        <w:t>Legislative requirements</w:t>
      </w:r>
      <w:bookmarkEnd w:id="2"/>
    </w:p>
    <w:p w14:paraId="27B5EC3B" w14:textId="19B62C8A" w:rsidR="00BB412C" w:rsidRPr="00F64BF4" w:rsidRDefault="00BB412C" w:rsidP="00F64BF4">
      <w:pPr>
        <w:pStyle w:val="Body-Text"/>
      </w:pPr>
      <w:r w:rsidRPr="00F64BF4">
        <w:t xml:space="preserve">State authorities should refer to the Act, the </w:t>
      </w:r>
      <w:r w:rsidRPr="004825BD">
        <w:rPr>
          <w:i/>
          <w:iCs/>
        </w:rPr>
        <w:t>Disability Inclusion Regulations 2019</w:t>
      </w:r>
      <w:r w:rsidRPr="00F64BF4">
        <w:t xml:space="preserve"> (SA) (DI</w:t>
      </w:r>
      <w:r w:rsidR="00280304">
        <w:t> </w:t>
      </w:r>
      <w:r w:rsidRPr="00F64BF4">
        <w:t>Reg) and the (</w:t>
      </w:r>
      <w:r w:rsidRPr="004825BD">
        <w:rPr>
          <w:i/>
          <w:iCs/>
        </w:rPr>
        <w:t>Disability Inclusion (Transitional Arrangements) Regulations 2018</w:t>
      </w:r>
      <w:r w:rsidRPr="004825BD">
        <w:t xml:space="preserve"> </w:t>
      </w:r>
      <w:r w:rsidRPr="00F64BF4">
        <w:t>(SA) (Reg (Transitional)) to ensure all legislative requirements are met.</w:t>
      </w:r>
    </w:p>
    <w:p w14:paraId="379972E9" w14:textId="77777777" w:rsidR="00BB412C" w:rsidRPr="00F64BF4" w:rsidRDefault="00BB412C" w:rsidP="00F64BF4">
      <w:pPr>
        <w:pStyle w:val="Body-Text"/>
      </w:pPr>
      <w:r w:rsidRPr="00F64BF4">
        <w:t>The following summary is not intended to be a substitute for legal advice. State authorities are encouraged to obtain independent legal advice relevant to their circumstances</w:t>
      </w:r>
    </w:p>
    <w:p w14:paraId="3DEABCF2" w14:textId="0934547A" w:rsidR="00BB412C" w:rsidRPr="00F45892" w:rsidRDefault="00BB412C" w:rsidP="00763113">
      <w:pPr>
        <w:pStyle w:val="Heading3"/>
      </w:pPr>
      <w:r w:rsidRPr="00F45892">
        <w:t>A DAIP must acknowledge and address:</w:t>
      </w:r>
    </w:p>
    <w:p w14:paraId="0E985ADB" w14:textId="1B4F4D6B" w:rsidR="00BB412C" w:rsidRPr="00F64BF4" w:rsidRDefault="00BB412C" w:rsidP="00AD392E">
      <w:pPr>
        <w:pStyle w:val="Bullet-Disc"/>
      </w:pPr>
      <w:r w:rsidRPr="00F64BF4">
        <w:t>The risks that relate to priority groups living with disability: women, children, Aboriginal and Torres Strait Islander people and culturally and linguistically diverse people (sections 9(2), (3), (4), and (5))</w:t>
      </w:r>
      <w:r w:rsidR="00AD392E">
        <w:t>.</w:t>
      </w:r>
    </w:p>
    <w:p w14:paraId="76294E9B" w14:textId="14DA1D07" w:rsidR="00BB412C" w:rsidRPr="00F64BF4" w:rsidRDefault="00BB412C" w:rsidP="00763113">
      <w:pPr>
        <w:pStyle w:val="Heading3"/>
      </w:pPr>
      <w:r w:rsidRPr="00F64BF4">
        <w:t>A DAIP must:</w:t>
      </w:r>
    </w:p>
    <w:p w14:paraId="29B99981" w14:textId="77777777" w:rsidR="00BB412C" w:rsidRPr="00F64BF4" w:rsidRDefault="00BB412C" w:rsidP="00AD392E">
      <w:pPr>
        <w:pStyle w:val="Bullet-Disc"/>
      </w:pPr>
      <w:r w:rsidRPr="00F64BF4">
        <w:t>include measures to ensure that people living with disability can access mainstream supports and services provided by or on behalf of the State authority (section 16(3)(a))</w:t>
      </w:r>
    </w:p>
    <w:p w14:paraId="5042B3D1" w14:textId="25980D38" w:rsidR="00BB412C" w:rsidRPr="00F64BF4" w:rsidRDefault="00BB412C" w:rsidP="00AD392E">
      <w:pPr>
        <w:pStyle w:val="Bullet-Disc"/>
      </w:pPr>
      <w:r w:rsidRPr="00F64BF4">
        <w:t xml:space="preserve">show how the State authority will give effect to the objects and principles set out in Part </w:t>
      </w:r>
      <w:r w:rsidR="00DF5CB0">
        <w:t>5</w:t>
      </w:r>
      <w:r w:rsidRPr="00F64BF4">
        <w:t xml:space="preserve"> of the Act (section 16(3)(b))</w:t>
      </w:r>
    </w:p>
    <w:p w14:paraId="29F93D7B" w14:textId="77777777" w:rsidR="00BB412C" w:rsidRPr="00F64BF4" w:rsidRDefault="00BB412C" w:rsidP="00AD392E">
      <w:pPr>
        <w:pStyle w:val="Bullet-Disc"/>
      </w:pPr>
      <w:r w:rsidRPr="00F64BF4">
        <w:t>show how the State authority will give effect to the State Plan (section 16(3)(c))</w:t>
      </w:r>
    </w:p>
    <w:p w14:paraId="59B86861" w14:textId="17402EF7" w:rsidR="00BB412C" w:rsidRPr="00F64BF4" w:rsidRDefault="00BB412C" w:rsidP="00AD392E">
      <w:pPr>
        <w:pStyle w:val="Bullet-Disc"/>
      </w:pPr>
      <w:r w:rsidRPr="00F64BF4">
        <w:t>include strategies to support people with disability in the following areas</w:t>
      </w:r>
      <w:r w:rsidR="00280304">
        <w:t>:</w:t>
      </w:r>
    </w:p>
    <w:p w14:paraId="12894322" w14:textId="66FA5BB6" w:rsidR="00BB412C" w:rsidRPr="00280304" w:rsidRDefault="00BB412C" w:rsidP="00AD392E">
      <w:pPr>
        <w:pStyle w:val="Bullet-Indent"/>
      </w:pPr>
      <w:r w:rsidRPr="00170985">
        <w:t xml:space="preserve">access to </w:t>
      </w:r>
      <w:proofErr w:type="spellStart"/>
      <w:r w:rsidRPr="00170985">
        <w:t>built</w:t>
      </w:r>
      <w:proofErr w:type="spellEnd"/>
      <w:r w:rsidRPr="00170985">
        <w:t xml:space="preserve"> environs</w:t>
      </w:r>
      <w:r w:rsidR="00C26855">
        <w:rPr>
          <w:rStyle w:val="FootnoteReference"/>
        </w:rPr>
        <w:footnoteReference w:id="2"/>
      </w:r>
      <w:r w:rsidRPr="00280304">
        <w:t>, events and facilities</w:t>
      </w:r>
    </w:p>
    <w:p w14:paraId="36E1266D" w14:textId="77777777" w:rsidR="00BB412C" w:rsidRPr="00280304" w:rsidRDefault="00BB412C" w:rsidP="00AD392E">
      <w:pPr>
        <w:pStyle w:val="Bullet-Indent"/>
      </w:pPr>
      <w:r w:rsidRPr="00280304">
        <w:t>access to information and communications</w:t>
      </w:r>
    </w:p>
    <w:p w14:paraId="768BEA7A" w14:textId="77777777" w:rsidR="00BB412C" w:rsidRPr="00280304" w:rsidRDefault="00BB412C" w:rsidP="00AD392E">
      <w:pPr>
        <w:pStyle w:val="Bullet-Indent"/>
      </w:pPr>
      <w:r w:rsidRPr="00280304">
        <w:t>address the specific needs of people with disability in programs and services</w:t>
      </w:r>
    </w:p>
    <w:p w14:paraId="70AF4413" w14:textId="77777777" w:rsidR="00BB412C" w:rsidRPr="00280304" w:rsidRDefault="00BB412C" w:rsidP="00AD392E">
      <w:pPr>
        <w:pStyle w:val="Bullet-Indent"/>
      </w:pPr>
      <w:r w:rsidRPr="00280304">
        <w:t>employment (section 16(3)(d))</w:t>
      </w:r>
    </w:p>
    <w:p w14:paraId="0ED3938D" w14:textId="3FBC9C6A" w:rsidR="00BB412C" w:rsidRPr="00F64BF4" w:rsidRDefault="00BB412C" w:rsidP="00AD392E">
      <w:pPr>
        <w:pStyle w:val="Bullet-Disc"/>
      </w:pPr>
      <w:r w:rsidRPr="00F64BF4">
        <w:t>comply with published guidelines (the Toolkit) (section 12(1)(a))</w:t>
      </w:r>
      <w:r w:rsidR="00763113">
        <w:t>.</w:t>
      </w:r>
    </w:p>
    <w:p w14:paraId="65D04B6E" w14:textId="77777777" w:rsidR="00BB412C" w:rsidRPr="00F64BF4" w:rsidRDefault="00BB412C" w:rsidP="00763113">
      <w:pPr>
        <w:pStyle w:val="Heading3"/>
      </w:pPr>
      <w:r w:rsidRPr="00F64BF4">
        <w:t>In developing a DAIP, a State authority must:</w:t>
      </w:r>
    </w:p>
    <w:p w14:paraId="02EAB88B" w14:textId="77777777" w:rsidR="00BB412C" w:rsidRPr="00F64BF4" w:rsidRDefault="00BB412C" w:rsidP="00AD392E">
      <w:pPr>
        <w:pStyle w:val="Bullet-Disc"/>
      </w:pPr>
      <w:r w:rsidRPr="00F64BF4">
        <w:t>meet consultation requirements, including a call for submissions from members of the public (sections 16(4)(b) and (c) and reg 9)</w:t>
      </w:r>
    </w:p>
    <w:p w14:paraId="01B67076" w14:textId="77777777" w:rsidR="00BB412C" w:rsidRPr="00F64BF4" w:rsidRDefault="00BB412C" w:rsidP="00AD392E">
      <w:pPr>
        <w:pStyle w:val="Bullet-Disc"/>
      </w:pPr>
      <w:r w:rsidRPr="00F64BF4">
        <w:t>seek the Minister’s approval if a State authority is a council and wishes to prepare a DAIP for more than one council (section 16(5))</w:t>
      </w:r>
    </w:p>
    <w:p w14:paraId="13D5AC3D" w14:textId="0FD2B11D" w:rsidR="00F2598E" w:rsidRPr="00F64BF4" w:rsidRDefault="00BB412C" w:rsidP="00AD392E">
      <w:pPr>
        <w:pStyle w:val="Bullet-Disc"/>
      </w:pPr>
      <w:r w:rsidRPr="00F64BF4">
        <w:t>take reasonable steps to ensure that residents in each affected council area are kept informed in respect of the preparation of the DAIP if the State authority is a council and wishes to prepare a DAIP for more than one council (reg 10)</w:t>
      </w:r>
      <w:r w:rsidR="00763113">
        <w:t>.</w:t>
      </w:r>
    </w:p>
    <w:p w14:paraId="4CA04B85" w14:textId="77777777" w:rsidR="00C26855" w:rsidRDefault="00C26855">
      <w:pPr>
        <w:rPr>
          <w:rFonts w:ascii="Arial" w:hAnsi="Arial" w:cs="Arial"/>
          <w:szCs w:val="24"/>
        </w:rPr>
      </w:pPr>
      <w:r>
        <w:br w:type="page"/>
      </w:r>
    </w:p>
    <w:p w14:paraId="78F9DA5C" w14:textId="3BD3EFB8" w:rsidR="00BB412C" w:rsidRPr="00F64BF4" w:rsidRDefault="00BB412C" w:rsidP="00F64BF4">
      <w:pPr>
        <w:pStyle w:val="Body-Text"/>
      </w:pPr>
      <w:r w:rsidRPr="00F45892">
        <w:lastRenderedPageBreak/>
        <w:t>The Act and associated Regulations also set out reporting requirements for State authorities: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2288"/>
        <w:gridCol w:w="2693"/>
      </w:tblGrid>
      <w:tr w:rsidR="00F45892" w:rsidRPr="0056398B" w14:paraId="259D0727" w14:textId="77777777" w:rsidTr="00A400C6">
        <w:trPr>
          <w:trHeight w:val="593"/>
          <w:tblHeader/>
        </w:trPr>
        <w:tc>
          <w:tcPr>
            <w:tcW w:w="4177" w:type="dxa"/>
            <w:shd w:val="clear" w:color="auto" w:fill="auto"/>
            <w:vAlign w:val="center"/>
          </w:tcPr>
          <w:p w14:paraId="4E58DCFD" w14:textId="77777777" w:rsidR="00F45892" w:rsidRPr="003978E5" w:rsidRDefault="00F45892" w:rsidP="003978E5">
            <w:pPr>
              <w:pStyle w:val="Table-Header"/>
            </w:pPr>
            <w:r w:rsidRPr="003978E5">
              <w:t>Action</w:t>
            </w:r>
          </w:p>
        </w:tc>
        <w:tc>
          <w:tcPr>
            <w:tcW w:w="2288" w:type="dxa"/>
            <w:shd w:val="clear" w:color="auto" w:fill="auto"/>
            <w:vAlign w:val="center"/>
          </w:tcPr>
          <w:p w14:paraId="4222A9E8" w14:textId="77777777" w:rsidR="00F45892" w:rsidRPr="003978E5" w:rsidRDefault="00F45892" w:rsidP="003978E5">
            <w:pPr>
              <w:pStyle w:val="Table-Header"/>
            </w:pPr>
            <w:r w:rsidRPr="003978E5">
              <w:t>Due date</w:t>
            </w:r>
          </w:p>
        </w:tc>
        <w:tc>
          <w:tcPr>
            <w:tcW w:w="2693" w:type="dxa"/>
            <w:shd w:val="clear" w:color="auto" w:fill="auto"/>
            <w:vAlign w:val="center"/>
          </w:tcPr>
          <w:p w14:paraId="46DCF482" w14:textId="77777777" w:rsidR="00F45892" w:rsidRPr="003978E5" w:rsidRDefault="00F45892" w:rsidP="003978E5">
            <w:pPr>
              <w:pStyle w:val="Table-Header"/>
            </w:pPr>
            <w:r w:rsidRPr="003978E5">
              <w:t>Legislation</w:t>
            </w:r>
          </w:p>
        </w:tc>
      </w:tr>
      <w:tr w:rsidR="00F45892" w:rsidRPr="0056398B" w14:paraId="1E6FA5F3" w14:textId="77777777" w:rsidTr="00A400C6">
        <w:trPr>
          <w:tblHeader/>
        </w:trPr>
        <w:tc>
          <w:tcPr>
            <w:tcW w:w="4177" w:type="dxa"/>
            <w:shd w:val="clear" w:color="auto" w:fill="auto"/>
            <w:vAlign w:val="center"/>
          </w:tcPr>
          <w:p w14:paraId="14283A8A" w14:textId="77777777" w:rsidR="00F45892" w:rsidRPr="002E6500" w:rsidRDefault="00F45892" w:rsidP="00067A11">
            <w:pPr>
              <w:pStyle w:val="Table-Text"/>
            </w:pPr>
            <w:r w:rsidRPr="002E6500">
              <w:t>First DAIP published</w:t>
            </w:r>
          </w:p>
        </w:tc>
        <w:tc>
          <w:tcPr>
            <w:tcW w:w="2288" w:type="dxa"/>
            <w:shd w:val="clear" w:color="auto" w:fill="auto"/>
            <w:vAlign w:val="center"/>
          </w:tcPr>
          <w:p w14:paraId="665A6BAA" w14:textId="77777777" w:rsidR="00F45892" w:rsidRPr="002E6500" w:rsidRDefault="00F45892" w:rsidP="00067A11">
            <w:pPr>
              <w:pStyle w:val="Table-Text"/>
            </w:pPr>
            <w:r w:rsidRPr="002E6500">
              <w:t>31 October 2020</w:t>
            </w:r>
          </w:p>
        </w:tc>
        <w:tc>
          <w:tcPr>
            <w:tcW w:w="2693" w:type="dxa"/>
            <w:shd w:val="clear" w:color="auto" w:fill="auto"/>
            <w:vAlign w:val="center"/>
          </w:tcPr>
          <w:p w14:paraId="35E1470E" w14:textId="77777777" w:rsidR="00F45892" w:rsidRPr="002E6500" w:rsidRDefault="00F45892" w:rsidP="00067A11">
            <w:pPr>
              <w:pStyle w:val="Table-Text"/>
            </w:pPr>
            <w:r w:rsidRPr="002E6500">
              <w:t>Reg (Transitional) r5(2)</w:t>
            </w:r>
          </w:p>
        </w:tc>
      </w:tr>
      <w:tr w:rsidR="00F45892" w:rsidRPr="0056398B" w14:paraId="20D6EF2C" w14:textId="77777777" w:rsidTr="00A400C6">
        <w:trPr>
          <w:tblHeader/>
        </w:trPr>
        <w:tc>
          <w:tcPr>
            <w:tcW w:w="4177" w:type="dxa"/>
            <w:shd w:val="clear" w:color="auto" w:fill="auto"/>
          </w:tcPr>
          <w:p w14:paraId="5E8B335A" w14:textId="77777777" w:rsidR="00F45892" w:rsidRPr="002E6500" w:rsidRDefault="00F45892" w:rsidP="00067A11">
            <w:pPr>
              <w:pStyle w:val="Table-Text"/>
            </w:pPr>
            <w:r w:rsidRPr="002E6500">
              <w:t>Publish DAIP on website of State authority’s choosing</w:t>
            </w:r>
          </w:p>
        </w:tc>
        <w:tc>
          <w:tcPr>
            <w:tcW w:w="2288" w:type="dxa"/>
            <w:shd w:val="clear" w:color="auto" w:fill="auto"/>
          </w:tcPr>
          <w:p w14:paraId="1D3DF2F7" w14:textId="77777777" w:rsidR="00F45892" w:rsidRPr="002E6500" w:rsidRDefault="00F45892" w:rsidP="00067A11">
            <w:pPr>
              <w:pStyle w:val="Table-Text"/>
            </w:pPr>
            <w:r w:rsidRPr="002E6500">
              <w:t>By 31 October 2020 for first DAIP</w:t>
            </w:r>
          </w:p>
        </w:tc>
        <w:tc>
          <w:tcPr>
            <w:tcW w:w="2693" w:type="dxa"/>
            <w:shd w:val="clear" w:color="auto" w:fill="auto"/>
          </w:tcPr>
          <w:p w14:paraId="6C9EBD74" w14:textId="77777777" w:rsidR="00F45892" w:rsidRPr="002E6500" w:rsidRDefault="00F45892" w:rsidP="00067A11">
            <w:pPr>
              <w:pStyle w:val="Table-Text"/>
            </w:pPr>
            <w:r w:rsidRPr="002E6500">
              <w:t>Act s16(7)</w:t>
            </w:r>
          </w:p>
        </w:tc>
      </w:tr>
      <w:tr w:rsidR="00F45892" w:rsidRPr="0056398B" w14:paraId="4B917BCD" w14:textId="77777777" w:rsidTr="00A400C6">
        <w:trPr>
          <w:tblHeader/>
        </w:trPr>
        <w:tc>
          <w:tcPr>
            <w:tcW w:w="4177" w:type="dxa"/>
            <w:shd w:val="clear" w:color="auto" w:fill="auto"/>
          </w:tcPr>
          <w:p w14:paraId="70A23157" w14:textId="77777777" w:rsidR="00F45892" w:rsidRDefault="00F45892" w:rsidP="00067A11">
            <w:pPr>
              <w:pStyle w:val="Table-Text"/>
            </w:pPr>
            <w:r w:rsidRPr="002E6500">
              <w:t>Notify C</w:t>
            </w:r>
            <w:r>
              <w:t xml:space="preserve">hief </w:t>
            </w:r>
            <w:r w:rsidRPr="002E6500">
              <w:t>E</w:t>
            </w:r>
            <w:r>
              <w:t>xecutive (CE)</w:t>
            </w:r>
            <w:r w:rsidRPr="002E6500">
              <w:t xml:space="preserve">, </w:t>
            </w:r>
            <w:r>
              <w:t>Department of Human Services (</w:t>
            </w:r>
            <w:r w:rsidRPr="002E6500">
              <w:t>DHS</w:t>
            </w:r>
            <w:r>
              <w:t>)</w:t>
            </w:r>
            <w:r w:rsidRPr="002E6500">
              <w:t xml:space="preserve"> that DAIP has been published (first DAIP only)</w:t>
            </w:r>
          </w:p>
          <w:p w14:paraId="194BC5F4" w14:textId="77777777" w:rsidR="00F45892" w:rsidRPr="002E6500" w:rsidRDefault="00F45892" w:rsidP="00067A11">
            <w:pPr>
              <w:pStyle w:val="Table-Text"/>
            </w:pPr>
            <w:r>
              <w:t>(</w:t>
            </w:r>
            <w:r w:rsidRPr="002E6500">
              <w:t>Th</w:t>
            </w:r>
            <w:r>
              <w:t>is</w:t>
            </w:r>
            <w:r w:rsidRPr="002E6500">
              <w:t xml:space="preserve"> report</w:t>
            </w:r>
            <w:r>
              <w:t xml:space="preserve"> and the one below</w:t>
            </w:r>
            <w:r w:rsidRPr="002E6500">
              <w:t xml:space="preserve"> can be combined</w:t>
            </w:r>
            <w:r>
              <w:t>)</w:t>
            </w:r>
          </w:p>
        </w:tc>
        <w:tc>
          <w:tcPr>
            <w:tcW w:w="2288" w:type="dxa"/>
            <w:shd w:val="clear" w:color="auto" w:fill="auto"/>
          </w:tcPr>
          <w:p w14:paraId="0AF5D21F" w14:textId="77777777" w:rsidR="00F45892" w:rsidRPr="002E6500" w:rsidRDefault="00F45892" w:rsidP="00067A11">
            <w:pPr>
              <w:pStyle w:val="Table-Text"/>
            </w:pPr>
            <w:r w:rsidRPr="002E6500">
              <w:t>After 31 October 2020</w:t>
            </w:r>
          </w:p>
        </w:tc>
        <w:tc>
          <w:tcPr>
            <w:tcW w:w="2693" w:type="dxa"/>
            <w:shd w:val="clear" w:color="auto" w:fill="auto"/>
          </w:tcPr>
          <w:p w14:paraId="138AB6BF" w14:textId="77777777" w:rsidR="00F45892" w:rsidRPr="002E6500" w:rsidRDefault="00F45892" w:rsidP="00067A11">
            <w:pPr>
              <w:pStyle w:val="Table-Text"/>
            </w:pPr>
            <w:r w:rsidRPr="002E6500">
              <w:t>Reg (Transitional) r5(4)</w:t>
            </w:r>
          </w:p>
        </w:tc>
      </w:tr>
      <w:tr w:rsidR="00F45892" w:rsidRPr="0056398B" w14:paraId="60553225" w14:textId="77777777" w:rsidTr="00A400C6">
        <w:trPr>
          <w:tblHeader/>
        </w:trPr>
        <w:tc>
          <w:tcPr>
            <w:tcW w:w="4177" w:type="dxa"/>
            <w:shd w:val="clear" w:color="auto" w:fill="auto"/>
          </w:tcPr>
          <w:p w14:paraId="27474D14" w14:textId="77777777" w:rsidR="00F45892" w:rsidRPr="002E6500" w:rsidRDefault="00F45892" w:rsidP="00067A11">
            <w:pPr>
              <w:pStyle w:val="Table-Text"/>
            </w:pPr>
            <w:r w:rsidRPr="002E6500">
              <w:t>Report to CE, DHS on preparation of DAIP</w:t>
            </w:r>
          </w:p>
        </w:tc>
        <w:tc>
          <w:tcPr>
            <w:tcW w:w="2288" w:type="dxa"/>
            <w:shd w:val="clear" w:color="auto" w:fill="auto"/>
          </w:tcPr>
          <w:p w14:paraId="7564B76D" w14:textId="77777777" w:rsidR="00F45892" w:rsidRPr="002E6500" w:rsidRDefault="00F45892" w:rsidP="00067A11">
            <w:pPr>
              <w:pStyle w:val="Table-Text"/>
            </w:pPr>
            <w:r w:rsidRPr="002E6500">
              <w:t>Following publication of DAIP</w:t>
            </w:r>
          </w:p>
        </w:tc>
        <w:tc>
          <w:tcPr>
            <w:tcW w:w="2693" w:type="dxa"/>
            <w:shd w:val="clear" w:color="auto" w:fill="auto"/>
          </w:tcPr>
          <w:p w14:paraId="33DDD586" w14:textId="77777777" w:rsidR="00F45892" w:rsidRPr="002E6500" w:rsidRDefault="00F45892" w:rsidP="00067A11">
            <w:pPr>
              <w:pStyle w:val="Table-Text"/>
            </w:pPr>
            <w:r w:rsidRPr="002E6500">
              <w:t>DI Reg r9(4)</w:t>
            </w:r>
          </w:p>
        </w:tc>
      </w:tr>
      <w:tr w:rsidR="00F45892" w:rsidRPr="0056398B" w14:paraId="1DCEF4A3" w14:textId="77777777" w:rsidTr="00A400C6">
        <w:trPr>
          <w:trHeight w:val="1313"/>
          <w:tblHeader/>
        </w:trPr>
        <w:tc>
          <w:tcPr>
            <w:tcW w:w="4177" w:type="dxa"/>
            <w:shd w:val="clear" w:color="auto" w:fill="auto"/>
          </w:tcPr>
          <w:p w14:paraId="3F71A5AF" w14:textId="77777777" w:rsidR="00F45892" w:rsidRPr="002E6500" w:rsidRDefault="00F45892" w:rsidP="00067A11">
            <w:pPr>
              <w:pStyle w:val="Table-Text"/>
            </w:pPr>
            <w:r w:rsidRPr="002E6500">
              <w:t>Annual Report on the operation of a DAIP to the CE, DHS (first report due 31 October 2021 for period 1 July 2020 to 30 June 2021)</w:t>
            </w:r>
          </w:p>
        </w:tc>
        <w:tc>
          <w:tcPr>
            <w:tcW w:w="2288" w:type="dxa"/>
            <w:shd w:val="clear" w:color="auto" w:fill="auto"/>
          </w:tcPr>
          <w:p w14:paraId="05EE082A" w14:textId="77777777" w:rsidR="00F45892" w:rsidRPr="002E6500" w:rsidRDefault="00F45892" w:rsidP="00067A11">
            <w:pPr>
              <w:pStyle w:val="Table-Text"/>
            </w:pPr>
            <w:r w:rsidRPr="002E6500">
              <w:t>31 October each year</w:t>
            </w:r>
          </w:p>
        </w:tc>
        <w:tc>
          <w:tcPr>
            <w:tcW w:w="2693" w:type="dxa"/>
            <w:shd w:val="clear" w:color="auto" w:fill="auto"/>
          </w:tcPr>
          <w:p w14:paraId="17BBE1B7" w14:textId="77777777" w:rsidR="00F45892" w:rsidRPr="002E6500" w:rsidRDefault="00F45892" w:rsidP="00067A11">
            <w:pPr>
              <w:pStyle w:val="Table-Text"/>
            </w:pPr>
            <w:r w:rsidRPr="002E6500">
              <w:t>Act s17(1)</w:t>
            </w:r>
          </w:p>
        </w:tc>
      </w:tr>
      <w:tr w:rsidR="00F45892" w:rsidRPr="0056398B" w14:paraId="70C71E51" w14:textId="77777777" w:rsidTr="00A400C6">
        <w:trPr>
          <w:tblHeader/>
        </w:trPr>
        <w:tc>
          <w:tcPr>
            <w:tcW w:w="4177" w:type="dxa"/>
            <w:shd w:val="clear" w:color="auto" w:fill="auto"/>
          </w:tcPr>
          <w:p w14:paraId="278BCBD0" w14:textId="77777777" w:rsidR="00F45892" w:rsidRPr="002E6500" w:rsidRDefault="00F45892" w:rsidP="00067A11">
            <w:pPr>
              <w:pStyle w:val="Table-Text"/>
            </w:pPr>
            <w:r w:rsidRPr="002E6500">
              <w:t>Conduct a DAIP review and provide a report on the review to the Minister</w:t>
            </w:r>
          </w:p>
        </w:tc>
        <w:tc>
          <w:tcPr>
            <w:tcW w:w="2288" w:type="dxa"/>
            <w:shd w:val="clear" w:color="auto" w:fill="auto"/>
          </w:tcPr>
          <w:p w14:paraId="39169FB0" w14:textId="77777777" w:rsidR="00F45892" w:rsidRPr="002E6500" w:rsidRDefault="00F45892" w:rsidP="00067A11">
            <w:pPr>
              <w:pStyle w:val="Table-Text"/>
            </w:pPr>
            <w:r w:rsidRPr="002E6500">
              <w:t>Every four years (minimum)</w:t>
            </w:r>
          </w:p>
        </w:tc>
        <w:tc>
          <w:tcPr>
            <w:tcW w:w="2693" w:type="dxa"/>
            <w:shd w:val="clear" w:color="auto" w:fill="auto"/>
          </w:tcPr>
          <w:p w14:paraId="33F8F476" w14:textId="77777777" w:rsidR="00F45892" w:rsidRPr="002E6500" w:rsidRDefault="00F45892" w:rsidP="00067A11">
            <w:pPr>
              <w:pStyle w:val="Table-Text"/>
            </w:pPr>
            <w:r w:rsidRPr="002E6500">
              <w:t>Act s18</w:t>
            </w:r>
          </w:p>
        </w:tc>
      </w:tr>
      <w:tr w:rsidR="00F45892" w:rsidRPr="0056398B" w14:paraId="22F7EE67" w14:textId="77777777" w:rsidTr="00A400C6">
        <w:trPr>
          <w:tblHead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21E30642" w14:textId="77777777" w:rsidR="00F45892" w:rsidRPr="002E6500" w:rsidRDefault="00F45892" w:rsidP="00067A11">
            <w:pPr>
              <w:pStyle w:val="Table-Text"/>
            </w:pPr>
            <w:r w:rsidRPr="002E6500">
              <w:t>Comply with requirements when making a variation to a DAIP</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D73DD22" w14:textId="77777777" w:rsidR="00F45892" w:rsidRPr="002E6500" w:rsidRDefault="00F45892" w:rsidP="00067A11">
            <w:pPr>
              <w:pStyle w:val="Table-Text"/>
            </w:pPr>
            <w:r w:rsidRPr="002E6500">
              <w:t>As required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F71BF3" w14:textId="77777777" w:rsidR="00F45892" w:rsidRPr="002E6500" w:rsidRDefault="00F45892" w:rsidP="00067A11">
            <w:pPr>
              <w:pStyle w:val="Table-Text"/>
            </w:pPr>
            <w:r w:rsidRPr="002E6500">
              <w:t>DI Reg r11</w:t>
            </w:r>
          </w:p>
        </w:tc>
      </w:tr>
      <w:tr w:rsidR="00F45892" w:rsidRPr="0056398B" w14:paraId="2EA93F90" w14:textId="77777777" w:rsidTr="00A400C6">
        <w:trPr>
          <w:tblHead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1C81B6F2" w14:textId="77777777" w:rsidR="00F45892" w:rsidRPr="002E6500" w:rsidRDefault="00F45892" w:rsidP="00067A11">
            <w:pPr>
              <w:pStyle w:val="Table-Text"/>
            </w:pPr>
            <w:r w:rsidRPr="002E6500">
              <w:t>Provide a report as specified by CE, DHS (this report may be forwarded to the Minister)</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37541282" w14:textId="77777777" w:rsidR="00F45892" w:rsidRPr="002E6500" w:rsidRDefault="00F45892" w:rsidP="00067A11">
            <w:pPr>
              <w:pStyle w:val="Table-Text"/>
            </w:pPr>
            <w:r w:rsidRPr="002E6500">
              <w:t>Upon request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56C3FB" w14:textId="77777777" w:rsidR="00F45892" w:rsidRPr="002E6500" w:rsidRDefault="00F45892" w:rsidP="00067A11">
            <w:pPr>
              <w:pStyle w:val="Table-Text"/>
            </w:pPr>
            <w:r w:rsidRPr="002E6500">
              <w:t>Act s26</w:t>
            </w:r>
          </w:p>
        </w:tc>
      </w:tr>
      <w:tr w:rsidR="00F45892" w:rsidRPr="0056398B" w14:paraId="2B6F0D62" w14:textId="77777777" w:rsidTr="00A400C6">
        <w:trPr>
          <w:tblHead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2DF846D0" w14:textId="47434A6C" w:rsidR="00F45892" w:rsidRPr="002E6500" w:rsidRDefault="00F45892" w:rsidP="00067A11">
            <w:pPr>
              <w:pStyle w:val="Table-Text"/>
            </w:pPr>
            <w:r w:rsidRPr="002E6500">
              <w:t xml:space="preserve">In accordance with the regulations, share prescribed information and documents </w:t>
            </w:r>
            <w:r w:rsidR="00966047">
              <w:t>with</w:t>
            </w:r>
            <w:r w:rsidRPr="002E6500">
              <w:t xml:space="preserve"> a recipient if you believe it will assist them to perform functions described in the Act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8C168B0" w14:textId="77777777" w:rsidR="00F45892" w:rsidRPr="002E6500" w:rsidRDefault="00F45892" w:rsidP="00067A11">
            <w:pPr>
              <w:pStyle w:val="Table-Text"/>
            </w:pPr>
            <w:r w:rsidRPr="002E6500">
              <w:t>Upon request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D9FA96" w14:textId="77777777" w:rsidR="00F45892" w:rsidRPr="002E6500" w:rsidRDefault="00F45892" w:rsidP="00067A11">
            <w:pPr>
              <w:pStyle w:val="Table-Text"/>
            </w:pPr>
            <w:r w:rsidRPr="002E6500">
              <w:t>Act s27</w:t>
            </w:r>
          </w:p>
        </w:tc>
      </w:tr>
    </w:tbl>
    <w:p w14:paraId="54322033" w14:textId="77777777" w:rsidR="00F45892" w:rsidRPr="00F64BF4" w:rsidRDefault="00F45892" w:rsidP="00F64BF4">
      <w:pPr>
        <w:pStyle w:val="Body-Text"/>
      </w:pPr>
    </w:p>
    <w:p w14:paraId="72EA4A2E" w14:textId="77777777" w:rsidR="00BB412C" w:rsidRPr="00F64BF4" w:rsidRDefault="00BB412C" w:rsidP="00763113">
      <w:pPr>
        <w:pStyle w:val="Heading2"/>
      </w:pPr>
      <w:bookmarkStart w:id="3" w:name="_Toc31884625"/>
      <w:r w:rsidRPr="00F64BF4">
        <w:t>Other legislation</w:t>
      </w:r>
      <w:bookmarkEnd w:id="3"/>
    </w:p>
    <w:p w14:paraId="235A66E4" w14:textId="6FCD0752" w:rsidR="00BB412C" w:rsidRPr="00F64BF4" w:rsidRDefault="00BB412C" w:rsidP="00F64BF4">
      <w:pPr>
        <w:pStyle w:val="Body-Text"/>
      </w:pPr>
      <w:r w:rsidRPr="00F64BF4">
        <w:t xml:space="preserve">The </w:t>
      </w:r>
      <w:r w:rsidRPr="004C7FAC">
        <w:rPr>
          <w:i/>
          <w:iCs/>
        </w:rPr>
        <w:t>Disability Discrimination Act 1992</w:t>
      </w:r>
      <w:r w:rsidRPr="00F64BF4">
        <w:t xml:space="preserve"> (</w:t>
      </w:r>
      <w:proofErr w:type="spellStart"/>
      <w:r w:rsidRPr="00F64BF4">
        <w:t>Cth</w:t>
      </w:r>
      <w:proofErr w:type="spellEnd"/>
      <w:r w:rsidRPr="00F64BF4">
        <w:t xml:space="preserve">) and the </w:t>
      </w:r>
      <w:r w:rsidRPr="004C7FAC">
        <w:rPr>
          <w:i/>
          <w:iCs/>
        </w:rPr>
        <w:t>Equal Opportunity Act 1984</w:t>
      </w:r>
      <w:r w:rsidRPr="00F64BF4">
        <w:t xml:space="preserve"> (SA) make disability discrimination unlawful and promote equal rights, opportunities and access for people living with disability. Disability discrimination happens when people living with disability are treated less fairly than people without disability and the discriminator fails to make reasonable adjustments to rectify the situation. It also occurs when people are treated less fairly because they are relatives, friends, carers, co-workers or associates of a person with disability.</w:t>
      </w:r>
    </w:p>
    <w:p w14:paraId="16844265" w14:textId="77777777" w:rsidR="003978E5" w:rsidRDefault="003978E5">
      <w:pPr>
        <w:rPr>
          <w:rFonts w:ascii="Arial" w:eastAsiaTheme="majorEastAsia" w:hAnsi="Arial" w:cs="Arial"/>
          <w:b/>
          <w:bCs/>
          <w:color w:val="000000" w:themeColor="text1"/>
          <w:sz w:val="32"/>
          <w:szCs w:val="32"/>
        </w:rPr>
      </w:pPr>
      <w:r>
        <w:br w:type="page"/>
      </w:r>
    </w:p>
    <w:p w14:paraId="69C7B29E" w14:textId="0BE620C8" w:rsidR="00BB412C" w:rsidRPr="00F64BF4" w:rsidRDefault="00BB412C" w:rsidP="00763113">
      <w:pPr>
        <w:pStyle w:val="Heading2"/>
      </w:pPr>
      <w:bookmarkStart w:id="4" w:name="_Toc31884626"/>
      <w:r w:rsidRPr="00F64BF4">
        <w:lastRenderedPageBreak/>
        <w:t>Planning for your DAIP</w:t>
      </w:r>
      <w:bookmarkEnd w:id="4"/>
    </w:p>
    <w:p w14:paraId="23097997" w14:textId="77777777" w:rsidR="00BB412C" w:rsidRPr="00F64BF4" w:rsidRDefault="00BB412C" w:rsidP="00F64BF4">
      <w:pPr>
        <w:pStyle w:val="Body-Text"/>
      </w:pPr>
      <w:r w:rsidRPr="00F64BF4">
        <w:t>It is recommended that State authorities align their DAIP actions with the four themes and associated priorities in the State Plan (where relevant). In doing this, State authorities demonstrate how their DAIP will give effect to the State Plan. State authorities will also be indirectly giving effect to the NDS and incorporating the principles in the Act and UNCRPD. State authorities are encouraged to follow these planning steps to ensure their DAIP meets legislative requirements.</w:t>
      </w:r>
    </w:p>
    <w:p w14:paraId="332B82B0" w14:textId="2CE9DE7F" w:rsidR="00BB412C" w:rsidRPr="00F64BF4" w:rsidRDefault="00BB412C" w:rsidP="00763113">
      <w:pPr>
        <w:pStyle w:val="Heading3"/>
      </w:pPr>
      <w:r w:rsidRPr="00F64BF4">
        <w:t>5.1</w:t>
      </w:r>
      <w:r w:rsidRPr="00F64BF4">
        <w:tab/>
        <w:t>Who is responsible for overseeing the planning process?</w:t>
      </w:r>
    </w:p>
    <w:p w14:paraId="026A7729" w14:textId="77777777" w:rsidR="00BB412C" w:rsidRPr="00F64BF4" w:rsidRDefault="00BB412C" w:rsidP="00F64BF4">
      <w:pPr>
        <w:pStyle w:val="Body-Text"/>
      </w:pPr>
      <w:r w:rsidRPr="00F64BF4">
        <w:t>State authorities may choose to establish an advisory committee or working group with representation that could include staff, Local Government elected members, people living with disability, family members, representative bodies, service providers, influential ‘champions’, or interested community members.</w:t>
      </w:r>
    </w:p>
    <w:p w14:paraId="047060F5" w14:textId="77777777" w:rsidR="00BB412C" w:rsidRPr="00F64BF4" w:rsidRDefault="00BB412C" w:rsidP="00F64BF4">
      <w:pPr>
        <w:pStyle w:val="Body-Text"/>
      </w:pPr>
      <w:r w:rsidRPr="00F64BF4">
        <w:t>Alternatively, a State authority may choose to allocate responsibility to a senior staff member or team within the authority</w:t>
      </w:r>
    </w:p>
    <w:p w14:paraId="21E95386" w14:textId="1C8CF694" w:rsidR="00BB412C" w:rsidRPr="00763113" w:rsidRDefault="00BB412C" w:rsidP="00763113">
      <w:pPr>
        <w:pStyle w:val="Heading3"/>
      </w:pPr>
      <w:r w:rsidRPr="00763113">
        <w:t>5.2</w:t>
      </w:r>
      <w:r w:rsidRPr="00763113">
        <w:tab/>
        <w:t xml:space="preserve">Know your business </w:t>
      </w:r>
      <w:r w:rsidR="00763113">
        <w:t>—</w:t>
      </w:r>
      <w:r w:rsidRPr="00763113">
        <w:t xml:space="preserve"> list the information, services and facilities provided</w:t>
      </w:r>
    </w:p>
    <w:p w14:paraId="6700CA4C" w14:textId="77777777" w:rsidR="00BB412C" w:rsidRPr="00F64BF4" w:rsidRDefault="00BB412C" w:rsidP="00F64BF4">
      <w:pPr>
        <w:pStyle w:val="Body-Text"/>
      </w:pPr>
      <w:r w:rsidRPr="00F64BF4">
        <w:t>Remember to include operational services that are also delivered through contracted third parties wherever possible.</w:t>
      </w:r>
    </w:p>
    <w:p w14:paraId="3C860DB8" w14:textId="77777777" w:rsidR="00BB412C" w:rsidRPr="00F64BF4" w:rsidRDefault="00BB412C" w:rsidP="00F64BF4">
      <w:pPr>
        <w:pStyle w:val="Body-Text"/>
      </w:pPr>
      <w:r w:rsidRPr="00F64BF4">
        <w:t>Review current practices in all work areas to identify possible barriers to access and inclusion from both the perspective of community members and authority staff living with disability</w:t>
      </w:r>
    </w:p>
    <w:p w14:paraId="12511446" w14:textId="245DC61D" w:rsidR="00BB412C" w:rsidRPr="00F64BF4" w:rsidRDefault="00BB412C" w:rsidP="00763113">
      <w:pPr>
        <w:pStyle w:val="Heading3"/>
      </w:pPr>
      <w:r w:rsidRPr="00F64BF4">
        <w:t>5.3</w:t>
      </w:r>
      <w:r w:rsidRPr="00F64BF4">
        <w:tab/>
        <w:t>Gather background information and ensure that existing information is current</w:t>
      </w:r>
    </w:p>
    <w:p w14:paraId="262DD97A" w14:textId="77777777" w:rsidR="00BB412C" w:rsidRPr="00F64BF4" w:rsidRDefault="00BB412C" w:rsidP="00F64BF4">
      <w:pPr>
        <w:pStyle w:val="Body-Text"/>
      </w:pPr>
      <w:r w:rsidRPr="00F64BF4">
        <w:t>Include statistical information about people living with disability in South Australia or your region and, if available, within staff or client groups.</w:t>
      </w:r>
    </w:p>
    <w:p w14:paraId="4A69E231" w14:textId="77777777" w:rsidR="00BB412C" w:rsidRPr="00F64BF4" w:rsidRDefault="00BB412C" w:rsidP="00F64BF4">
      <w:pPr>
        <w:pStyle w:val="Body-Text"/>
      </w:pPr>
      <w:r w:rsidRPr="00F64BF4">
        <w:t>Consider access issues identified by staff, service users, elected members or disability organisations.</w:t>
      </w:r>
    </w:p>
    <w:p w14:paraId="29EB4B2A" w14:textId="77777777" w:rsidR="00BB412C" w:rsidRPr="00F64BF4" w:rsidRDefault="00BB412C" w:rsidP="00F64BF4">
      <w:pPr>
        <w:pStyle w:val="Body-Text"/>
      </w:pPr>
      <w:r w:rsidRPr="00F64BF4">
        <w:t>Review previous DAIPs or other access initiatives and assess progress. This may involve identifying remaining barriers and strategies for addressing them.</w:t>
      </w:r>
    </w:p>
    <w:p w14:paraId="50D53588" w14:textId="5B175A2D" w:rsidR="00BB412C" w:rsidRPr="00F64BF4" w:rsidRDefault="00BB412C" w:rsidP="00763113">
      <w:pPr>
        <w:pStyle w:val="Heading3"/>
      </w:pPr>
      <w:r w:rsidRPr="00F64BF4">
        <w:t>5.4</w:t>
      </w:r>
      <w:r w:rsidRPr="00F64BF4">
        <w:tab/>
        <w:t>Undertake community engagement, including consultation</w:t>
      </w:r>
    </w:p>
    <w:p w14:paraId="58BA9D24" w14:textId="77777777" w:rsidR="00BB412C" w:rsidRPr="00F64BF4" w:rsidRDefault="00BB412C" w:rsidP="00F64BF4">
      <w:pPr>
        <w:pStyle w:val="Body-Text"/>
      </w:pPr>
      <w:r w:rsidRPr="00F64BF4">
        <w:t xml:space="preserve">It is a legislative requirement under the Act that authorities undertake consultation and call for submissions from members of the public before they finalise and publish their DAIP. Consultation may include surveys, forums/workshops, </w:t>
      </w:r>
      <w:proofErr w:type="spellStart"/>
      <w:r w:rsidRPr="00F64BF4">
        <w:t>YourSAy</w:t>
      </w:r>
      <w:proofErr w:type="spellEnd"/>
      <w:r w:rsidRPr="00F64BF4">
        <w:t xml:space="preserve"> website and engagement with targeted groups</w:t>
      </w:r>
    </w:p>
    <w:p w14:paraId="38701FAF" w14:textId="77777777" w:rsidR="00BB412C" w:rsidRPr="00F64BF4" w:rsidRDefault="00BB412C" w:rsidP="00F64BF4">
      <w:pPr>
        <w:pStyle w:val="Body-Text"/>
      </w:pPr>
      <w:r w:rsidRPr="00F64BF4">
        <w:t>Community engagement should take into consideration the diversity among people living with disability.</w:t>
      </w:r>
    </w:p>
    <w:p w14:paraId="7B1208F0" w14:textId="15232130" w:rsidR="00BB412C" w:rsidRPr="00F64BF4" w:rsidRDefault="00BB412C" w:rsidP="00F64BF4">
      <w:pPr>
        <w:pStyle w:val="Body-Text"/>
      </w:pPr>
      <w:r w:rsidRPr="00F64BF4">
        <w:t xml:space="preserve">It is important to communicate with people using a variety of methods. Ensure that language used is appropriate and tailored to the audience, is easily understood and available in accessible formats. These may include </w:t>
      </w:r>
      <w:r w:rsidR="00763113">
        <w:t>E</w:t>
      </w:r>
      <w:r w:rsidRPr="00F64BF4">
        <w:t xml:space="preserve">asy </w:t>
      </w:r>
      <w:r w:rsidR="00763113">
        <w:t>R</w:t>
      </w:r>
      <w:r w:rsidRPr="00F64BF4">
        <w:t xml:space="preserve">ead, </w:t>
      </w:r>
      <w:proofErr w:type="spellStart"/>
      <w:r w:rsidRPr="00F64BF4">
        <w:t>Auslan</w:t>
      </w:r>
      <w:proofErr w:type="spellEnd"/>
      <w:r w:rsidRPr="00F64BF4">
        <w:t xml:space="preserve">, pictorial forms, large font, audible options, </w:t>
      </w:r>
      <w:r w:rsidR="00763113">
        <w:t>B</w:t>
      </w:r>
      <w:r w:rsidRPr="00F64BF4">
        <w:t xml:space="preserve">raille, closed captions and </w:t>
      </w:r>
      <w:proofErr w:type="spellStart"/>
      <w:r w:rsidR="00763113">
        <w:t>VoiceOver</w:t>
      </w:r>
      <w:proofErr w:type="spellEnd"/>
      <w:r w:rsidR="00763113">
        <w:t>.</w:t>
      </w:r>
    </w:p>
    <w:p w14:paraId="1C63B9FA" w14:textId="407C493A" w:rsidR="00BB412C" w:rsidRPr="00F64BF4" w:rsidRDefault="00BB412C" w:rsidP="00763113">
      <w:pPr>
        <w:pStyle w:val="Heading3"/>
      </w:pPr>
      <w:r w:rsidRPr="00F64BF4">
        <w:lastRenderedPageBreak/>
        <w:t>5.5</w:t>
      </w:r>
      <w:r w:rsidRPr="00F64BF4">
        <w:tab/>
        <w:t>Resources to assist in community engagement</w:t>
      </w:r>
    </w:p>
    <w:p w14:paraId="38E268E3" w14:textId="77777777" w:rsidR="00BB412C" w:rsidRPr="003978E5" w:rsidRDefault="00BB412C" w:rsidP="00E66E80">
      <w:pPr>
        <w:pStyle w:val="Heading4"/>
      </w:pPr>
      <w:r w:rsidRPr="003978E5">
        <w:t>Better Together</w:t>
      </w:r>
    </w:p>
    <w:p w14:paraId="2904980F" w14:textId="1C7499A7" w:rsidR="00BB412C" w:rsidRPr="00F64BF4" w:rsidRDefault="00BB412C" w:rsidP="00F64BF4">
      <w:pPr>
        <w:pStyle w:val="Body-Text"/>
      </w:pPr>
      <w:r w:rsidRPr="00F64BF4">
        <w:t xml:space="preserve">The South Australian Government has produced a guide to assist organisations to consult and engage with the community: </w:t>
      </w:r>
      <w:r w:rsidRPr="00AB14F6">
        <w:rPr>
          <w:i/>
          <w:iCs/>
        </w:rPr>
        <w:t>Better Together: principles of engagement</w:t>
      </w:r>
      <w:r w:rsidR="004C7FAC">
        <w:t>.</w:t>
      </w:r>
    </w:p>
    <w:p w14:paraId="58D56D8D" w14:textId="7DEDDB57" w:rsidR="00BB412C" w:rsidRPr="00F64BF4" w:rsidRDefault="00BB412C" w:rsidP="00E66E80">
      <w:pPr>
        <w:pStyle w:val="Heading4"/>
      </w:pPr>
      <w:r w:rsidRPr="00F64BF4">
        <w:t>DHS Disability Engagement Group</w:t>
      </w:r>
    </w:p>
    <w:p w14:paraId="2DF5175E" w14:textId="6B75C66F" w:rsidR="00BB412C" w:rsidRPr="00F64BF4" w:rsidRDefault="00BB412C" w:rsidP="00F64BF4">
      <w:pPr>
        <w:pStyle w:val="Body-Text"/>
      </w:pPr>
      <w:r w:rsidRPr="00F64BF4">
        <w:t>The Department of Human Services Disability Engagement Group is used to obtain advice about disability issues. The group is a confidential contact list of people who have chosen to be available to provide independent advice on issues that are important to people living with disability in South Australia</w:t>
      </w:r>
      <w:r w:rsidR="00763113">
        <w:t>.</w:t>
      </w:r>
    </w:p>
    <w:p w14:paraId="25675EFA" w14:textId="3DF4E480" w:rsidR="00BB412C" w:rsidRPr="00F64BF4" w:rsidRDefault="00BB412C" w:rsidP="00F64BF4">
      <w:pPr>
        <w:pStyle w:val="Body-Text"/>
      </w:pPr>
      <w:r w:rsidRPr="00F64BF4">
        <w:t xml:space="preserve">Consultations take place as needed. Members participate because of their interest and experience in areas related to disability. The group includes people living with disability as well as family members, carers and practitioners. </w:t>
      </w:r>
      <w:r w:rsidR="00763113">
        <w:t>Email</w:t>
      </w:r>
      <w:r w:rsidRPr="00F64BF4">
        <w:t xml:space="preserve">: </w:t>
      </w:r>
      <w:hyperlink r:id="rId13" w:history="1">
        <w:r w:rsidR="003978E5">
          <w:rPr>
            <w:rStyle w:val="Hyperlink"/>
          </w:rPr>
          <w:t>DHSDisabilityTalk@sa.gov.au</w:t>
        </w:r>
      </w:hyperlink>
    </w:p>
    <w:p w14:paraId="09B37264" w14:textId="77777777" w:rsidR="00BB412C" w:rsidRPr="00F64BF4" w:rsidRDefault="00BB412C" w:rsidP="00E66E80">
      <w:pPr>
        <w:pStyle w:val="Heading4"/>
      </w:pPr>
      <w:r w:rsidRPr="00F64BF4">
        <w:t>Local Government Act</w:t>
      </w:r>
    </w:p>
    <w:p w14:paraId="20F43F35" w14:textId="77777777" w:rsidR="00BB412C" w:rsidRPr="00F64BF4" w:rsidRDefault="00BB412C" w:rsidP="00F64BF4">
      <w:pPr>
        <w:pStyle w:val="Body-Text"/>
      </w:pPr>
      <w:r w:rsidRPr="00F64BF4">
        <w:t xml:space="preserve">The Local Government Act 1999 (SA) requires public consultation on a range of topics. Councils should refer to the </w:t>
      </w:r>
      <w:r w:rsidRPr="00E66E80">
        <w:rPr>
          <w:i/>
          <w:iCs/>
        </w:rPr>
        <w:t>Local Government Association Community Engagement Handbook</w:t>
      </w:r>
      <w:r w:rsidRPr="00F64BF4">
        <w:t xml:space="preserve"> for assistance with this process.</w:t>
      </w:r>
    </w:p>
    <w:p w14:paraId="3A8FE5D3" w14:textId="77777777" w:rsidR="00BB412C" w:rsidRPr="00E66E80" w:rsidRDefault="00BB412C" w:rsidP="00E66E80">
      <w:pPr>
        <w:pStyle w:val="Heading4"/>
      </w:pPr>
      <w:r w:rsidRPr="00E66E80">
        <w:t>Australian Local Government Association (ALGA)</w:t>
      </w:r>
    </w:p>
    <w:p w14:paraId="2343398E" w14:textId="0F4D4089" w:rsidR="00BB412C" w:rsidRPr="00F64BF4" w:rsidRDefault="00BB412C" w:rsidP="00F64BF4">
      <w:pPr>
        <w:pStyle w:val="Body-Text"/>
      </w:pPr>
      <w:r w:rsidRPr="00F64BF4">
        <w:t>In October 2016</w:t>
      </w:r>
      <w:r w:rsidR="00763113">
        <w:t>,</w:t>
      </w:r>
      <w:r w:rsidRPr="00F64BF4">
        <w:t xml:space="preserve"> ALGA released the Disability Inclusion Planning</w:t>
      </w:r>
      <w:r w:rsidR="00763113">
        <w:t>—</w:t>
      </w:r>
      <w:r w:rsidRPr="00F64BF4">
        <w:t>a Guide for Local Government</w:t>
      </w:r>
      <w:r w:rsidR="00E66E80">
        <w:t xml:space="preserve"> </w:t>
      </w:r>
      <w:r w:rsidRPr="00F64BF4">
        <w:t>as a resource to help councils navigate the NDS. The Guide notes that some states and territories have specific legislative and policy requirements regarding disability inclusion planning and that councils should consult these specific requirements for their jurisdiction in the first place</w:t>
      </w:r>
      <w:r w:rsidR="00763113">
        <w:t>.</w:t>
      </w:r>
    </w:p>
    <w:p w14:paraId="14BE05CC" w14:textId="3D70964F" w:rsidR="00BB412C" w:rsidRPr="00F64BF4" w:rsidRDefault="00BB412C" w:rsidP="00763113">
      <w:pPr>
        <w:pStyle w:val="Heading3"/>
      </w:pPr>
      <w:r w:rsidRPr="00F64BF4">
        <w:t>5.6</w:t>
      </w:r>
      <w:r w:rsidRPr="00F64BF4">
        <w:tab/>
        <w:t>Applying feedback and developing DAIP actions</w:t>
      </w:r>
    </w:p>
    <w:p w14:paraId="5C54C727" w14:textId="77777777" w:rsidR="00BB412C" w:rsidRPr="00F64BF4" w:rsidRDefault="00BB412C" w:rsidP="00F64BF4">
      <w:pPr>
        <w:pStyle w:val="Body-Text"/>
      </w:pPr>
      <w:r w:rsidRPr="00F64BF4">
        <w:t xml:space="preserve">Analyse the findings of the consultation and community engagement process in relation to the four themes and associated priority actions set out in the State Plan. </w:t>
      </w:r>
    </w:p>
    <w:p w14:paraId="05CF0A6E" w14:textId="0534E041" w:rsidR="00BB412C" w:rsidRPr="00F64BF4" w:rsidRDefault="00BB412C" w:rsidP="00F64BF4">
      <w:pPr>
        <w:pStyle w:val="Body-Text"/>
      </w:pPr>
      <w:r w:rsidRPr="00F64BF4">
        <w:t xml:space="preserve">Identify strategies to overcome barriers, bearing in mind legislative requirements including the </w:t>
      </w:r>
      <w:r w:rsidRPr="004C7FAC">
        <w:rPr>
          <w:i/>
          <w:iCs/>
        </w:rPr>
        <w:t>Disability Discrimination Act 1992</w:t>
      </w:r>
      <w:r w:rsidRPr="00F64BF4">
        <w:t xml:space="preserve"> (</w:t>
      </w:r>
      <w:proofErr w:type="spellStart"/>
      <w:r w:rsidRPr="00F64BF4">
        <w:t>Cth</w:t>
      </w:r>
      <w:proofErr w:type="spellEnd"/>
      <w:r w:rsidRPr="00F64BF4">
        <w:t xml:space="preserve">) (DDA), the </w:t>
      </w:r>
      <w:r w:rsidRPr="004C7FAC">
        <w:rPr>
          <w:i/>
          <w:iCs/>
        </w:rPr>
        <w:t>Equal Opportunity Act 1984</w:t>
      </w:r>
      <w:r w:rsidRPr="00F64BF4">
        <w:t xml:space="preserve"> (SA) (EOA), Building Code of Australia and associated standards</w:t>
      </w:r>
      <w:r w:rsidR="00E66E80">
        <w:t xml:space="preserve"> </w:t>
      </w:r>
      <w:r w:rsidRPr="00F64BF4">
        <w:t>and guidelines</w:t>
      </w:r>
      <w:r w:rsidR="00763113">
        <w:t>.</w:t>
      </w:r>
    </w:p>
    <w:p w14:paraId="262C1664" w14:textId="074B8C3F" w:rsidR="00BB412C" w:rsidRPr="00F64BF4" w:rsidRDefault="00BB412C" w:rsidP="00F64BF4">
      <w:pPr>
        <w:pStyle w:val="Body-Text"/>
      </w:pPr>
      <w:r w:rsidRPr="004C7FAC">
        <w:t>The Australian Human Rights Commission</w:t>
      </w:r>
      <w:r w:rsidRPr="00F64BF4">
        <w:t xml:space="preserve"> provides information about rights</w:t>
      </w:r>
      <w:r w:rsidR="00E66E80">
        <w:t xml:space="preserve"> </w:t>
      </w:r>
      <w:r w:rsidRPr="00F64BF4">
        <w:t>and legal responsibilities under the DDA and resources including standards</w:t>
      </w:r>
      <w:r w:rsidR="00E66E80">
        <w:t xml:space="preserve"> </w:t>
      </w:r>
      <w:r w:rsidRPr="00F64BF4">
        <w:t>and guides</w:t>
      </w:r>
      <w:r w:rsidR="00763113">
        <w:t>.</w:t>
      </w:r>
    </w:p>
    <w:p w14:paraId="021A8677" w14:textId="303EE08E" w:rsidR="00BB412C" w:rsidRPr="00F64BF4" w:rsidRDefault="00BB412C" w:rsidP="00F64BF4">
      <w:pPr>
        <w:pStyle w:val="Body-Text"/>
      </w:pPr>
      <w:r w:rsidRPr="004C7FAC">
        <w:t>The South Australian Equal Opportunity Commission</w:t>
      </w:r>
      <w:r w:rsidRPr="00F64BF4">
        <w:t xml:space="preserve"> provides information about the EOA and training and assistance with complaints resolution.</w:t>
      </w:r>
    </w:p>
    <w:p w14:paraId="327B7794" w14:textId="03F8AAB7" w:rsidR="00BB412C" w:rsidRPr="00F64BF4" w:rsidRDefault="00BB412C" w:rsidP="00F64BF4">
      <w:pPr>
        <w:pStyle w:val="Body-Text"/>
      </w:pPr>
      <w:r w:rsidRPr="00E1601C">
        <w:rPr>
          <w:iCs/>
        </w:rPr>
        <w:t>Your DAIP</w:t>
      </w:r>
      <w:r w:rsidRPr="004C7FAC">
        <w:t xml:space="preserve"> </w:t>
      </w:r>
      <w:r w:rsidRPr="00F64BF4">
        <w:t>provides an opportunity to be creative and implement innovative best practice initiatives. It is suggested that you refer to other organisations</w:t>
      </w:r>
      <w:r w:rsidR="00763113">
        <w:t>’</w:t>
      </w:r>
      <w:r w:rsidRPr="00F64BF4">
        <w:t xml:space="preserve"> DAIPs to see how requirements have been addressed within their area</w:t>
      </w:r>
      <w:r w:rsidR="00763113">
        <w:t>.</w:t>
      </w:r>
    </w:p>
    <w:p w14:paraId="38FE70A9" w14:textId="21EB95A1" w:rsidR="00BB412C" w:rsidRPr="00F64BF4" w:rsidRDefault="00BB412C" w:rsidP="00F64BF4">
      <w:pPr>
        <w:pStyle w:val="Body-Text"/>
      </w:pPr>
      <w:r w:rsidRPr="00F64BF4">
        <w:t>Councils can also collaborate with other councils using a Local Government community of practice for information sharing and peer support. Section 16(5) of the Act allows councils to prepare and publish a joint DAIP subject to permission from the Minister for Human Services. Councils that are considering a joint DAIP should apply in writing to the Minister setting out the reasons why a joint DAIP is preferred</w:t>
      </w:r>
      <w:r w:rsidR="00763113">
        <w:t>.</w:t>
      </w:r>
    </w:p>
    <w:p w14:paraId="47DC3DB7" w14:textId="75B9DFEE" w:rsidR="00BB412C" w:rsidRPr="00F64BF4" w:rsidRDefault="00BB412C" w:rsidP="00F64BF4">
      <w:pPr>
        <w:pStyle w:val="Body-Text"/>
      </w:pPr>
      <w:r w:rsidRPr="00F64BF4">
        <w:t>Collaboration between agencies through a community of practice is encouraged</w:t>
      </w:r>
      <w:r w:rsidR="00763113">
        <w:t>.</w:t>
      </w:r>
    </w:p>
    <w:p w14:paraId="7AA6335F" w14:textId="65D817CE" w:rsidR="00BB412C" w:rsidRPr="00F64BF4" w:rsidRDefault="00BB412C" w:rsidP="00F64BF4">
      <w:pPr>
        <w:pStyle w:val="Body-Text"/>
      </w:pPr>
      <w:r w:rsidRPr="00F64BF4">
        <w:lastRenderedPageBreak/>
        <w:t>Additionally, agencies can appoint a disability champion or access and inclusion officer to highlight and raise the profile of disability access and inclusion. A disability champion is someone who advocates for equal access and inclusion for people living with disability. The disability champion assists the authority to explore new ideas and promote good practice</w:t>
      </w:r>
      <w:r w:rsidR="00763113">
        <w:t>.</w:t>
      </w:r>
    </w:p>
    <w:p w14:paraId="0C819093" w14:textId="77777777" w:rsidR="00BB412C" w:rsidRPr="00F64BF4" w:rsidRDefault="00BB412C" w:rsidP="00F64BF4">
      <w:pPr>
        <w:pStyle w:val="Body-Text"/>
      </w:pPr>
      <w:r w:rsidRPr="00F64BF4">
        <w:t>Actions can also be prioritised in line with planning and budgeting processes.</w:t>
      </w:r>
    </w:p>
    <w:p w14:paraId="1A3944C0" w14:textId="550DC669" w:rsidR="00BB412C" w:rsidRPr="00E66E80" w:rsidRDefault="00BB412C" w:rsidP="00E66E80">
      <w:pPr>
        <w:pStyle w:val="Heading4"/>
      </w:pPr>
      <w:r w:rsidRPr="00E66E80">
        <w:t>The DAIP should include, under the appropriate section:</w:t>
      </w:r>
    </w:p>
    <w:p w14:paraId="220F450E" w14:textId="77777777" w:rsidR="00BB412C" w:rsidRPr="00F64BF4" w:rsidRDefault="00BB412C" w:rsidP="00AD392E">
      <w:pPr>
        <w:pStyle w:val="Bullet-Disc"/>
      </w:pPr>
      <w:r w:rsidRPr="00F64BF4">
        <w:t>State authority’s goals: outcome</w:t>
      </w:r>
    </w:p>
    <w:p w14:paraId="3ED8F29E" w14:textId="77777777" w:rsidR="00BB412C" w:rsidRPr="00F64BF4" w:rsidRDefault="00BB412C" w:rsidP="00AD392E">
      <w:pPr>
        <w:pStyle w:val="Bullet-Disc"/>
      </w:pPr>
      <w:r w:rsidRPr="00F64BF4">
        <w:t>How they will be achieved: action</w:t>
      </w:r>
    </w:p>
    <w:p w14:paraId="23E06AA5" w14:textId="77777777" w:rsidR="00BB412C" w:rsidRPr="00F64BF4" w:rsidRDefault="00BB412C" w:rsidP="00AD392E">
      <w:pPr>
        <w:pStyle w:val="Bullet-Disc"/>
      </w:pPr>
      <w:r w:rsidRPr="00F64BF4">
        <w:t xml:space="preserve">Who will do it: </w:t>
      </w:r>
      <w:proofErr w:type="gramStart"/>
      <w:r w:rsidRPr="00F64BF4">
        <w:t>responsibility</w:t>
      </w:r>
      <w:proofErr w:type="gramEnd"/>
    </w:p>
    <w:p w14:paraId="73680E36" w14:textId="77777777" w:rsidR="00BB412C" w:rsidRPr="00F64BF4" w:rsidRDefault="00BB412C" w:rsidP="00AD392E">
      <w:pPr>
        <w:pStyle w:val="Bullet-Disc"/>
      </w:pPr>
      <w:r w:rsidRPr="00F64BF4">
        <w:t xml:space="preserve">When it will be </w:t>
      </w:r>
      <w:proofErr w:type="gramStart"/>
      <w:r w:rsidRPr="00F64BF4">
        <w:t>done:</w:t>
      </w:r>
      <w:proofErr w:type="gramEnd"/>
      <w:r w:rsidRPr="00F64BF4">
        <w:t xml:space="preserve"> timeframe</w:t>
      </w:r>
    </w:p>
    <w:p w14:paraId="092FB75E" w14:textId="6D1AB9ED" w:rsidR="00BB412C" w:rsidRPr="00F64BF4" w:rsidRDefault="00BB412C" w:rsidP="00AD392E">
      <w:pPr>
        <w:pStyle w:val="Bullet-Disc"/>
      </w:pPr>
      <w:r w:rsidRPr="00F64BF4">
        <w:t>How success will be measured: measurable targets</w:t>
      </w:r>
      <w:r w:rsidR="00AD392E">
        <w:t>.</w:t>
      </w:r>
    </w:p>
    <w:p w14:paraId="71128805" w14:textId="6194167E" w:rsidR="00BB412C" w:rsidRPr="00F64BF4" w:rsidRDefault="00BB412C" w:rsidP="00E66E80">
      <w:pPr>
        <w:pStyle w:val="Heading4"/>
      </w:pPr>
      <w:r w:rsidRPr="00F64BF4">
        <w:t>DAIP actions should be:</w:t>
      </w:r>
    </w:p>
    <w:p w14:paraId="6EF923F8" w14:textId="78AD63C2" w:rsidR="00BB412C" w:rsidRPr="00CC6519" w:rsidRDefault="00BB412C" w:rsidP="00CC6519">
      <w:pPr>
        <w:pStyle w:val="Heading5"/>
      </w:pPr>
      <w:r w:rsidRPr="00CC6519">
        <w:t>Specific</w:t>
      </w:r>
      <w:r w:rsidR="00E66E80" w:rsidRPr="00CC6519">
        <w:t>:</w:t>
      </w:r>
    </w:p>
    <w:p w14:paraId="66E5E08B" w14:textId="6384E00A" w:rsidR="00BB412C" w:rsidRPr="00F64BF4" w:rsidRDefault="00BB412C" w:rsidP="00AD392E">
      <w:pPr>
        <w:pStyle w:val="Bullet-Disc"/>
      </w:pPr>
      <w:r w:rsidRPr="00F64BF4">
        <w:t>What exactly is your authority going to do?</w:t>
      </w:r>
    </w:p>
    <w:p w14:paraId="1BE433A7" w14:textId="77777777" w:rsidR="00BB412C" w:rsidRPr="00F64BF4" w:rsidRDefault="00BB412C" w:rsidP="00AD392E">
      <w:pPr>
        <w:pStyle w:val="Bullet-Disc"/>
      </w:pPr>
      <w:r w:rsidRPr="00F64BF4">
        <w:t>Are goals clear and well defined?</w:t>
      </w:r>
    </w:p>
    <w:p w14:paraId="1C9E4A83" w14:textId="59E28219" w:rsidR="00BB412C" w:rsidRPr="00CC6519" w:rsidRDefault="00BB412C" w:rsidP="00CC6519">
      <w:pPr>
        <w:pStyle w:val="Heading5"/>
      </w:pPr>
      <w:r w:rsidRPr="00CC6519">
        <w:t>Measurable</w:t>
      </w:r>
      <w:r w:rsidR="00E66E80" w:rsidRPr="00CC6519">
        <w:t>:</w:t>
      </w:r>
    </w:p>
    <w:p w14:paraId="6938C96C" w14:textId="77777777" w:rsidR="00BB412C" w:rsidRPr="00F64BF4" w:rsidRDefault="00BB412C" w:rsidP="00AD392E">
      <w:pPr>
        <w:pStyle w:val="Bullet-Disc"/>
      </w:pPr>
      <w:r w:rsidRPr="00F64BF4">
        <w:t>How will your authority know when goals are reached?</w:t>
      </w:r>
    </w:p>
    <w:p w14:paraId="473FC5CE" w14:textId="77777777" w:rsidR="00BB412C" w:rsidRPr="00F64BF4" w:rsidRDefault="00BB412C" w:rsidP="00AD392E">
      <w:pPr>
        <w:pStyle w:val="Bullet-Disc"/>
      </w:pPr>
      <w:r w:rsidRPr="00F64BF4">
        <w:t>Can success be measured?</w:t>
      </w:r>
    </w:p>
    <w:p w14:paraId="156C49C6" w14:textId="61A5EB0C" w:rsidR="00BB412C" w:rsidRPr="00CC6519" w:rsidRDefault="00BB412C" w:rsidP="00CC6519">
      <w:pPr>
        <w:pStyle w:val="Heading5"/>
      </w:pPr>
      <w:r w:rsidRPr="00CC6519">
        <w:t>Achievable</w:t>
      </w:r>
      <w:r w:rsidR="00E66E80" w:rsidRPr="00CC6519">
        <w:t>:</w:t>
      </w:r>
    </w:p>
    <w:p w14:paraId="766E33F1" w14:textId="77777777" w:rsidR="00BB412C" w:rsidRPr="00F64BF4" w:rsidRDefault="00BB412C" w:rsidP="00AD392E">
      <w:pPr>
        <w:pStyle w:val="Bullet-Disc"/>
      </w:pPr>
      <w:r w:rsidRPr="00F64BF4">
        <w:t>Can your authority deliver results on time and within budget?</w:t>
      </w:r>
    </w:p>
    <w:p w14:paraId="295FEA2D" w14:textId="77777777" w:rsidR="00BB412C" w:rsidRPr="00F64BF4" w:rsidRDefault="00BB412C" w:rsidP="00AD392E">
      <w:pPr>
        <w:pStyle w:val="Bullet-Disc"/>
      </w:pPr>
      <w:r w:rsidRPr="00F64BF4">
        <w:t>Are all stakeholders in agreement with this?</w:t>
      </w:r>
    </w:p>
    <w:p w14:paraId="0B8EAF3E" w14:textId="35370FC4" w:rsidR="00BB412C" w:rsidRPr="00CC6519" w:rsidRDefault="00BB412C" w:rsidP="00CC6519">
      <w:pPr>
        <w:pStyle w:val="Heading5"/>
      </w:pPr>
      <w:r w:rsidRPr="00CC6519">
        <w:t>Realistic</w:t>
      </w:r>
      <w:r w:rsidR="00E66E80" w:rsidRPr="00CC6519">
        <w:t>:</w:t>
      </w:r>
    </w:p>
    <w:p w14:paraId="382F9F03" w14:textId="77777777" w:rsidR="00BB412C" w:rsidRPr="00F64BF4" w:rsidRDefault="00BB412C" w:rsidP="00AD392E">
      <w:pPr>
        <w:pStyle w:val="Bullet-Disc"/>
      </w:pPr>
      <w:r w:rsidRPr="00F64BF4">
        <w:t xml:space="preserve">Will this action lead to the desired outcome with available resources, knowledge and time? </w:t>
      </w:r>
    </w:p>
    <w:p w14:paraId="4490D7F6" w14:textId="1C6494F7" w:rsidR="00BB412C" w:rsidRPr="00CC6519" w:rsidRDefault="00BB412C" w:rsidP="00CC6519">
      <w:pPr>
        <w:pStyle w:val="Heading5"/>
      </w:pPr>
      <w:r w:rsidRPr="00CC6519">
        <w:t>Timely</w:t>
      </w:r>
      <w:r w:rsidR="00E66E80" w:rsidRPr="00CC6519">
        <w:t>:</w:t>
      </w:r>
    </w:p>
    <w:p w14:paraId="4DE33CD7" w14:textId="77777777" w:rsidR="00BB412C" w:rsidRPr="00F64BF4" w:rsidRDefault="00BB412C" w:rsidP="00AD392E">
      <w:pPr>
        <w:pStyle w:val="Bullet-Disc"/>
      </w:pPr>
      <w:r w:rsidRPr="00F64BF4">
        <w:t>What is the deadline for achieving the target?</w:t>
      </w:r>
    </w:p>
    <w:p w14:paraId="5BF445C1" w14:textId="77777777" w:rsidR="00BB412C" w:rsidRPr="00F64BF4" w:rsidRDefault="00BB412C" w:rsidP="00AD392E">
      <w:pPr>
        <w:pStyle w:val="Bullet-Disc"/>
      </w:pPr>
      <w:r w:rsidRPr="00F64BF4">
        <w:t>Is this enough time?</w:t>
      </w:r>
    </w:p>
    <w:p w14:paraId="336DC842" w14:textId="77777777" w:rsidR="00BB412C" w:rsidRPr="00F64BF4" w:rsidRDefault="00BB412C" w:rsidP="00AD392E">
      <w:pPr>
        <w:pStyle w:val="Bullet-Disc"/>
      </w:pPr>
      <w:r w:rsidRPr="00F64BF4">
        <w:t>Is there general recognition that the actions are time-limited?</w:t>
      </w:r>
    </w:p>
    <w:p w14:paraId="21259FF1" w14:textId="4524E4E4" w:rsidR="00BB412C" w:rsidRPr="00F64BF4" w:rsidRDefault="00BB412C" w:rsidP="00763113">
      <w:pPr>
        <w:pStyle w:val="Heading3"/>
      </w:pPr>
      <w:r w:rsidRPr="00F64BF4">
        <w:t>5.7</w:t>
      </w:r>
      <w:r w:rsidRPr="00F64BF4">
        <w:tab/>
        <w:t>Implement monitoring, reviewing and reporting mechanisms</w:t>
      </w:r>
    </w:p>
    <w:p w14:paraId="78625414" w14:textId="77777777" w:rsidR="00BB412C" w:rsidRPr="00F64BF4" w:rsidRDefault="00BB412C" w:rsidP="00F64BF4">
      <w:pPr>
        <w:pStyle w:val="Body-Text"/>
      </w:pPr>
      <w:r w:rsidRPr="00F64BF4">
        <w:t>People living with disability, their families and representatives should be actively involved in the ongoing implementation, monitoring and review of DAIPs.</w:t>
      </w:r>
    </w:p>
    <w:p w14:paraId="2ADEE0A6" w14:textId="15A8661E" w:rsidR="00BB412C" w:rsidRPr="00F64BF4" w:rsidRDefault="00BB412C" w:rsidP="00CC6519">
      <w:pPr>
        <w:pStyle w:val="Heading4"/>
      </w:pPr>
      <w:r w:rsidRPr="00F64BF4">
        <w:t>Determine:</w:t>
      </w:r>
    </w:p>
    <w:p w14:paraId="435D00E5" w14:textId="77777777" w:rsidR="00BB412C" w:rsidRPr="00F64BF4" w:rsidRDefault="00BB412C" w:rsidP="00AD392E">
      <w:pPr>
        <w:pStyle w:val="Bullet-Disc"/>
      </w:pPr>
      <w:r w:rsidRPr="00F64BF4">
        <w:t>How your authority will monitor the implementation and progress of the DAIP</w:t>
      </w:r>
    </w:p>
    <w:p w14:paraId="61F81AB2" w14:textId="77777777" w:rsidR="00BB412C" w:rsidRPr="00F64BF4" w:rsidRDefault="00BB412C" w:rsidP="00AD392E">
      <w:pPr>
        <w:pStyle w:val="Bullet-Disc"/>
      </w:pPr>
      <w:r w:rsidRPr="00F64BF4">
        <w:t>If there will be a DAIP advisory group or a specified position with responsibility</w:t>
      </w:r>
    </w:p>
    <w:p w14:paraId="0624FFC6" w14:textId="16DB7F05" w:rsidR="00BB412C" w:rsidRPr="00F64BF4" w:rsidRDefault="00BB412C" w:rsidP="00AD392E">
      <w:pPr>
        <w:pStyle w:val="Bullet-Disc"/>
      </w:pPr>
      <w:r w:rsidRPr="00F64BF4">
        <w:t>Measurable targets to assess the DAIP performance and success</w:t>
      </w:r>
    </w:p>
    <w:p w14:paraId="547511FD" w14:textId="77777777" w:rsidR="00BB412C" w:rsidRPr="00F64BF4" w:rsidRDefault="00BB412C" w:rsidP="00AD392E">
      <w:pPr>
        <w:pStyle w:val="Bullet-Disc"/>
      </w:pPr>
      <w:r w:rsidRPr="00F64BF4">
        <w:lastRenderedPageBreak/>
        <w:t>What information needs to be collected. Options might include gathering:</w:t>
      </w:r>
    </w:p>
    <w:p w14:paraId="1676C192" w14:textId="18BFAB82" w:rsidR="00BB412C" w:rsidRPr="00F64BF4" w:rsidRDefault="00BB412C" w:rsidP="00AD392E">
      <w:pPr>
        <w:pStyle w:val="Bullet-Indent"/>
      </w:pPr>
      <w:r w:rsidRPr="00F64BF4">
        <w:t>Quantitative information (</w:t>
      </w:r>
      <w:r w:rsidR="00170E01">
        <w:t>For example,</w:t>
      </w:r>
      <w:r w:rsidRPr="00F64BF4">
        <w:t xml:space="preserve"> Australian Bureau of Statistics Disability Ageing and Carers: Summary of findings, census data, general social survey data, Australian Institute of Health and Welfare reports)</w:t>
      </w:r>
    </w:p>
    <w:p w14:paraId="754841C9" w14:textId="6F407288" w:rsidR="00BB412C" w:rsidRPr="00F64BF4" w:rsidRDefault="00BB412C" w:rsidP="00AD392E">
      <w:pPr>
        <w:pStyle w:val="Bullet-Indent"/>
      </w:pPr>
      <w:r w:rsidRPr="00F64BF4">
        <w:t>Information including employment figures, number and type of office modifications undertaken and complaints data</w:t>
      </w:r>
    </w:p>
    <w:p w14:paraId="0B102A5B" w14:textId="11BD46C8" w:rsidR="00BB412C" w:rsidRPr="00F64BF4" w:rsidRDefault="00BB412C" w:rsidP="00AD392E">
      <w:pPr>
        <w:pStyle w:val="Bullet-Indent"/>
      </w:pPr>
      <w:r w:rsidRPr="00F64BF4">
        <w:t>Qualitative information from people living with disability, their families and representatives to see whether they have experienced an improvement in access and inclusion as a result of the DAIP</w:t>
      </w:r>
      <w:r w:rsidR="00CC6519">
        <w:t>.</w:t>
      </w:r>
    </w:p>
    <w:p w14:paraId="5939EBE6" w14:textId="5E29F7B1" w:rsidR="00BB412C" w:rsidRPr="00F64BF4" w:rsidRDefault="00BB412C" w:rsidP="00763113">
      <w:pPr>
        <w:pStyle w:val="Heading3"/>
      </w:pPr>
      <w:r w:rsidRPr="00F64BF4">
        <w:t>5.8</w:t>
      </w:r>
      <w:r w:rsidRPr="00F64BF4">
        <w:tab/>
        <w:t>Finalise and promote the DAIP widely</w:t>
      </w:r>
    </w:p>
    <w:p w14:paraId="07FED67C" w14:textId="77777777" w:rsidR="00BB412C" w:rsidRPr="00F64BF4" w:rsidRDefault="00BB412C" w:rsidP="00F64BF4">
      <w:pPr>
        <w:pStyle w:val="Body-Text"/>
      </w:pPr>
      <w:r w:rsidRPr="00F64BF4">
        <w:t>Seek feedback from stakeholders on the draft DAIP and incorporate any changes.</w:t>
      </w:r>
    </w:p>
    <w:p w14:paraId="31F11572" w14:textId="7B7ADC7A" w:rsidR="00BB412C" w:rsidRPr="00F64BF4" w:rsidRDefault="00BB412C" w:rsidP="00F64BF4">
      <w:pPr>
        <w:pStyle w:val="Body-Text"/>
      </w:pPr>
      <w:r w:rsidRPr="00F64BF4">
        <w:t xml:space="preserve">When the DAIP is finalised and approved, it should be made available in a variety of accessible formats to all business units and the general public. These may include </w:t>
      </w:r>
      <w:r w:rsidR="00170E01">
        <w:t>E</w:t>
      </w:r>
      <w:r w:rsidRPr="00F64BF4">
        <w:t xml:space="preserve">asy </w:t>
      </w:r>
      <w:r w:rsidR="00170E01">
        <w:t>R</w:t>
      </w:r>
      <w:r w:rsidRPr="00F64BF4">
        <w:t xml:space="preserve">ead, </w:t>
      </w:r>
      <w:proofErr w:type="spellStart"/>
      <w:r w:rsidRPr="00F64BF4">
        <w:t>Auslan</w:t>
      </w:r>
      <w:proofErr w:type="spellEnd"/>
      <w:r w:rsidRPr="00F64BF4">
        <w:t xml:space="preserve">, pictorial forms, large font, audible options, </w:t>
      </w:r>
      <w:r w:rsidR="00170E01">
        <w:t>B</w:t>
      </w:r>
      <w:r w:rsidRPr="00F64BF4">
        <w:t xml:space="preserve">raille, closed captions and </w:t>
      </w:r>
      <w:proofErr w:type="spellStart"/>
      <w:r w:rsidR="00170E01">
        <w:t>V</w:t>
      </w:r>
      <w:r w:rsidRPr="00F64BF4">
        <w:t>oice</w:t>
      </w:r>
      <w:r w:rsidR="00170E01">
        <w:t>O</w:t>
      </w:r>
      <w:r w:rsidRPr="00F64BF4">
        <w:t>ver</w:t>
      </w:r>
      <w:proofErr w:type="spellEnd"/>
      <w:r w:rsidR="00170E01">
        <w:t>.</w:t>
      </w:r>
    </w:p>
    <w:p w14:paraId="4049ECAE" w14:textId="33694143" w:rsidR="00BB412C" w:rsidRPr="00F64BF4" w:rsidRDefault="00BB412C" w:rsidP="00F64BF4">
      <w:pPr>
        <w:pStyle w:val="Body-Text"/>
      </w:pPr>
      <w:r w:rsidRPr="00F64BF4">
        <w:t>It is a legislative requirement that DAIPs be published on a website determined by your authority. Most State authorities have their own websites, and these are considered the most appropriate place for publishing a DAIP</w:t>
      </w:r>
      <w:r w:rsidR="00170E01">
        <w:t>.</w:t>
      </w:r>
    </w:p>
    <w:p w14:paraId="5EE3DDB2" w14:textId="77777777" w:rsidR="00BB412C" w:rsidRPr="00F64BF4" w:rsidRDefault="00BB412C" w:rsidP="00F64BF4">
      <w:pPr>
        <w:pStyle w:val="Body-Text"/>
      </w:pPr>
      <w:r w:rsidRPr="00F64BF4">
        <w:t>It should also be promoted through authority communications, staff induction and training, and other appropriate mechanisms.</w:t>
      </w:r>
    </w:p>
    <w:p w14:paraId="79C893AD" w14:textId="6F099D49" w:rsidR="00BB412C" w:rsidRPr="00763113" w:rsidRDefault="00BB412C" w:rsidP="00763113">
      <w:pPr>
        <w:pStyle w:val="Heading3"/>
      </w:pPr>
      <w:r w:rsidRPr="00763113">
        <w:t>5.9</w:t>
      </w:r>
      <w:r w:rsidRPr="00763113">
        <w:tab/>
        <w:t>Final steps</w:t>
      </w:r>
    </w:p>
    <w:p w14:paraId="795C60E3" w14:textId="10EF0315" w:rsidR="00BB412C" w:rsidRPr="00F64BF4" w:rsidRDefault="00BB412C" w:rsidP="00F64BF4">
      <w:pPr>
        <w:pStyle w:val="Body-Text"/>
      </w:pPr>
      <w:r w:rsidRPr="00F64BF4">
        <w:t>The Chief Executive, DHS must be notified that the DAIP has been published</w:t>
      </w:r>
      <w:r w:rsidR="00170E01">
        <w:t>.</w:t>
      </w:r>
    </w:p>
    <w:p w14:paraId="1EC13807" w14:textId="3C55F367" w:rsidR="00A400C6" w:rsidRDefault="00BB412C" w:rsidP="00A400C6">
      <w:pPr>
        <w:pStyle w:val="Body-Text"/>
      </w:pPr>
      <w:r w:rsidRPr="00F64BF4">
        <w:t xml:space="preserve">You must also report to the Chief Executive, DHS on the preparation of the DAIP. This information should form part of your DAIP (see section on DAIP Development in </w:t>
      </w:r>
      <w:r w:rsidRPr="00E1601C">
        <w:t>the DAIP Template</w:t>
      </w:r>
      <w:r w:rsidRPr="00F64BF4">
        <w:t>)</w:t>
      </w:r>
      <w:r w:rsidR="00170E01">
        <w:t>.</w:t>
      </w:r>
    </w:p>
    <w:p w14:paraId="0BF14287" w14:textId="758F2E45" w:rsidR="00170E01" w:rsidRPr="00F64BF4" w:rsidRDefault="00170E01" w:rsidP="00A400C6">
      <w:pPr>
        <w:pStyle w:val="Body-Text"/>
      </w:pPr>
      <w:r w:rsidRPr="00F64BF4">
        <w:t>Providing a copy of the published DAIP to the Chief Executive, DHS will meet these two requirements</w:t>
      </w:r>
    </w:p>
    <w:p w14:paraId="0CBDC71C" w14:textId="77777777" w:rsidR="00F25C4E" w:rsidRDefault="00F25C4E">
      <w:pPr>
        <w:rPr>
          <w:rFonts w:ascii="Arial" w:eastAsiaTheme="majorEastAsia" w:hAnsi="Arial" w:cs="Arial"/>
          <w:b/>
          <w:bCs/>
          <w:color w:val="000000" w:themeColor="text1"/>
          <w:sz w:val="32"/>
          <w:szCs w:val="32"/>
        </w:rPr>
      </w:pPr>
      <w:r>
        <w:br w:type="page"/>
      </w:r>
    </w:p>
    <w:p w14:paraId="2DB38031" w14:textId="0C4D4E34" w:rsidR="00BB412C" w:rsidRPr="00F64BF4" w:rsidRDefault="00BB412C" w:rsidP="00763113">
      <w:pPr>
        <w:pStyle w:val="Heading2"/>
      </w:pPr>
      <w:bookmarkStart w:id="5" w:name="_Toc31884627"/>
      <w:r w:rsidRPr="00F64BF4">
        <w:lastRenderedPageBreak/>
        <w:t>The DAIP Template</w:t>
      </w:r>
      <w:bookmarkEnd w:id="5"/>
    </w:p>
    <w:p w14:paraId="43CD1241" w14:textId="0359C6A8" w:rsidR="00BB412C" w:rsidRPr="00F64BF4" w:rsidRDefault="00BB412C" w:rsidP="00F64BF4">
      <w:pPr>
        <w:pStyle w:val="Body-Text"/>
      </w:pPr>
      <w:r w:rsidRPr="00F64BF4">
        <w:t xml:space="preserve">The DAIP template can be accessed via the </w:t>
      </w:r>
      <w:r w:rsidRPr="00E1601C">
        <w:t>Inclusive SA website</w:t>
      </w:r>
      <w:r w:rsidR="00E1601C">
        <w:t xml:space="preserve">: </w:t>
      </w:r>
      <w:hyperlink r:id="rId14" w:history="1">
        <w:r w:rsidR="00E1601C" w:rsidRPr="001B3B82">
          <w:rPr>
            <w:rStyle w:val="Hyperlink"/>
          </w:rPr>
          <w:t>www.inclusive.sa.gov.au</w:t>
        </w:r>
      </w:hyperlink>
      <w:r w:rsidR="00E1601C">
        <w:t xml:space="preserve"> </w:t>
      </w:r>
    </w:p>
    <w:p w14:paraId="5C215B49" w14:textId="75758D1B" w:rsidR="00BB412C" w:rsidRPr="00F64BF4" w:rsidRDefault="00BB412C" w:rsidP="00F64BF4">
      <w:pPr>
        <w:pStyle w:val="Body-Text"/>
      </w:pPr>
      <w:r w:rsidRPr="00F64BF4">
        <w:t>State authorities are encouraged to use the template to ensure consistency in presentation and reporting</w:t>
      </w:r>
      <w:r w:rsidR="00170E01">
        <w:t>.</w:t>
      </w:r>
    </w:p>
    <w:p w14:paraId="3B70BAFF" w14:textId="0D825D8D" w:rsidR="00F25C4E" w:rsidRDefault="00BB412C" w:rsidP="00F64BF4">
      <w:pPr>
        <w:pStyle w:val="Body-Text"/>
      </w:pPr>
      <w:r w:rsidRPr="00F64BF4">
        <w:t>The template is available as a Word document to allow State authorities to brand the DAIP with each authority’s style and layout.</w:t>
      </w:r>
    </w:p>
    <w:p w14:paraId="5D4B9920" w14:textId="77777777" w:rsidR="00F25C4E" w:rsidRDefault="00F25C4E">
      <w:pPr>
        <w:rPr>
          <w:rFonts w:ascii="Arial" w:hAnsi="Arial" w:cs="Arial"/>
          <w:szCs w:val="24"/>
        </w:rPr>
      </w:pPr>
      <w:r>
        <w:br w:type="page"/>
      </w:r>
    </w:p>
    <w:p w14:paraId="399B4E1E" w14:textId="77777777" w:rsidR="00BB412C" w:rsidRPr="00F64BF4" w:rsidRDefault="00BB412C" w:rsidP="00763113">
      <w:pPr>
        <w:pStyle w:val="Heading2"/>
      </w:pPr>
      <w:bookmarkStart w:id="6" w:name="_Toc31884628"/>
      <w:r w:rsidRPr="00F64BF4">
        <w:lastRenderedPageBreak/>
        <w:t>Glossary of definitions and acronyms</w:t>
      </w:r>
      <w:bookmarkEnd w:id="6"/>
    </w:p>
    <w:p w14:paraId="55714BF2" w14:textId="77777777" w:rsidR="00F25C4E" w:rsidRDefault="00F25C4E" w:rsidP="00763113">
      <w:pPr>
        <w:pStyle w:val="Heading3"/>
        <w:sectPr w:rsidR="00F25C4E" w:rsidSect="000A59D9">
          <w:footerReference w:type="default" r:id="rId15"/>
          <w:pgSz w:w="11906" w:h="16838"/>
          <w:pgMar w:top="1134" w:right="1134" w:bottom="1134" w:left="1134" w:header="709" w:footer="709" w:gutter="0"/>
          <w:cols w:space="708"/>
          <w:docGrid w:linePitch="360"/>
        </w:sectPr>
      </w:pPr>
    </w:p>
    <w:p w14:paraId="4235348B" w14:textId="6C5008DF" w:rsidR="00BB412C" w:rsidRPr="00F64BF4" w:rsidRDefault="00BB412C" w:rsidP="00170E01">
      <w:pPr>
        <w:pStyle w:val="Heading3Glossary"/>
      </w:pPr>
      <w:r w:rsidRPr="00F64BF4">
        <w:t>Best practice</w:t>
      </w:r>
    </w:p>
    <w:p w14:paraId="06BA0127" w14:textId="515E43F0" w:rsidR="00BB412C" w:rsidRPr="00F64BF4" w:rsidRDefault="00BB412C" w:rsidP="00F64BF4">
      <w:pPr>
        <w:pStyle w:val="Body-Text"/>
      </w:pPr>
      <w:r w:rsidRPr="00F64BF4">
        <w:t>A method or technique that has been generally accepted as superior to any alternatives because it produces results that are better to those achieved by other means or because it has become a standard way of doing things.</w:t>
      </w:r>
    </w:p>
    <w:p w14:paraId="3A35EE1A" w14:textId="3229C010" w:rsidR="00BB412C" w:rsidRPr="00F64BF4" w:rsidRDefault="00BB412C" w:rsidP="00170E01">
      <w:pPr>
        <w:pStyle w:val="Heading3Glossary"/>
      </w:pPr>
      <w:r w:rsidRPr="00F64BF4">
        <w:t>Built environs</w:t>
      </w:r>
    </w:p>
    <w:p w14:paraId="0DB5D7D0" w14:textId="608CC033" w:rsidR="00BB412C" w:rsidRPr="00F64BF4" w:rsidRDefault="00170E01" w:rsidP="00F64BF4">
      <w:pPr>
        <w:pStyle w:val="Body-Text"/>
      </w:pPr>
      <w:r>
        <w:t>Artificial</w:t>
      </w:r>
      <w:r w:rsidR="00BB412C" w:rsidRPr="00F64BF4">
        <w:t xml:space="preserve"> structures, features, and facilities viewed collectively as an environment in which people live and work.</w:t>
      </w:r>
    </w:p>
    <w:p w14:paraId="3BB5ED69" w14:textId="28CAF8C1" w:rsidR="00BB412C" w:rsidRPr="00F64BF4" w:rsidRDefault="00BB412C" w:rsidP="00170E01">
      <w:pPr>
        <w:pStyle w:val="Heading3Glossary"/>
      </w:pPr>
      <w:r w:rsidRPr="00F64BF4">
        <w:t>Commonwealth</w:t>
      </w:r>
    </w:p>
    <w:p w14:paraId="68FB0A6A" w14:textId="77777777" w:rsidR="00BB412C" w:rsidRPr="00F64BF4" w:rsidRDefault="00BB412C" w:rsidP="00F64BF4">
      <w:pPr>
        <w:pStyle w:val="Body-Text"/>
      </w:pPr>
      <w:r w:rsidRPr="00F64BF4">
        <w:t>The government of the Commonwealth of Australia – commonly referred to as the Australian Government or the Federal Government.</w:t>
      </w:r>
    </w:p>
    <w:p w14:paraId="745D19C8" w14:textId="1424F5EC" w:rsidR="00BB412C" w:rsidRPr="00F64BF4" w:rsidRDefault="00BB412C" w:rsidP="00170E01">
      <w:pPr>
        <w:pStyle w:val="Heading3Glossary"/>
      </w:pPr>
      <w:r w:rsidRPr="00F64BF4">
        <w:t>DAIP</w:t>
      </w:r>
    </w:p>
    <w:p w14:paraId="7716B2A4" w14:textId="77777777" w:rsidR="00BB412C" w:rsidRPr="00F64BF4" w:rsidRDefault="00BB412C" w:rsidP="00F64BF4">
      <w:pPr>
        <w:pStyle w:val="Body-Text"/>
      </w:pPr>
      <w:r w:rsidRPr="00F64BF4">
        <w:t>Disability Access and Inclusion Plan prepared by State authorities for their own agency, department or council area.</w:t>
      </w:r>
    </w:p>
    <w:p w14:paraId="7E8166AB" w14:textId="01CB80BE" w:rsidR="00BB412C" w:rsidRPr="00F64BF4" w:rsidRDefault="00BB412C" w:rsidP="00170E01">
      <w:pPr>
        <w:pStyle w:val="Heading3Glossary"/>
      </w:pPr>
      <w:r w:rsidRPr="00F64BF4">
        <w:t>DHS</w:t>
      </w:r>
    </w:p>
    <w:p w14:paraId="1A0A7F7D" w14:textId="77777777" w:rsidR="00BB412C" w:rsidRPr="00F64BF4" w:rsidRDefault="00BB412C" w:rsidP="00F64BF4">
      <w:pPr>
        <w:pStyle w:val="Body-Text"/>
      </w:pPr>
      <w:r w:rsidRPr="00F64BF4">
        <w:t>The South Australian Department of Human Services.</w:t>
      </w:r>
    </w:p>
    <w:p w14:paraId="249D4AD0" w14:textId="3CD03192" w:rsidR="00BB412C" w:rsidRPr="00170E01" w:rsidRDefault="00BB412C" w:rsidP="00170E01">
      <w:pPr>
        <w:pStyle w:val="Heading3Glossary"/>
      </w:pPr>
      <w:r w:rsidRPr="00170E01">
        <w:t>Disability Engagement Group (DEG)</w:t>
      </w:r>
    </w:p>
    <w:p w14:paraId="17406F07" w14:textId="6EF266F5" w:rsidR="00BB412C" w:rsidRPr="00F64BF4" w:rsidRDefault="00BB412C" w:rsidP="00F64BF4">
      <w:pPr>
        <w:pStyle w:val="Body-Text"/>
      </w:pPr>
      <w:r w:rsidRPr="00F64BF4">
        <w:t xml:space="preserve">A DHS </w:t>
      </w:r>
      <w:r w:rsidR="006336D7">
        <w:t>-</w:t>
      </w:r>
      <w:r w:rsidRPr="00F64BF4">
        <w:t>led register that can be used by other government agencies or councils to obtain advice from people living with disability and the sector about disability issues</w:t>
      </w:r>
    </w:p>
    <w:p w14:paraId="72B5923D" w14:textId="1610A2C0" w:rsidR="00BB412C" w:rsidRPr="00F64BF4" w:rsidRDefault="00BB412C" w:rsidP="00170E01">
      <w:pPr>
        <w:pStyle w:val="Heading3Glossary"/>
      </w:pPr>
      <w:r w:rsidRPr="00F64BF4">
        <w:t>Local councils</w:t>
      </w:r>
    </w:p>
    <w:p w14:paraId="0415B6CA" w14:textId="77777777" w:rsidR="00BB412C" w:rsidRPr="00F64BF4" w:rsidRDefault="00BB412C" w:rsidP="00F64BF4">
      <w:pPr>
        <w:pStyle w:val="Body-Text"/>
      </w:pPr>
      <w:r w:rsidRPr="00F64BF4">
        <w:t xml:space="preserve">A system of government in South Australia under which elected local government bodies (councils) are constituted under the </w:t>
      </w:r>
      <w:r w:rsidRPr="00170E01">
        <w:rPr>
          <w:i/>
          <w:iCs/>
        </w:rPr>
        <w:t>Local Government Act 1999</w:t>
      </w:r>
      <w:r w:rsidRPr="00F64BF4">
        <w:t xml:space="preserve"> (SA).</w:t>
      </w:r>
    </w:p>
    <w:p w14:paraId="5739BC57" w14:textId="27E1C14E" w:rsidR="00BB412C" w:rsidRPr="00F64BF4" w:rsidRDefault="00AC3C65" w:rsidP="00170E01">
      <w:pPr>
        <w:pStyle w:val="Heading3Glossary"/>
      </w:pPr>
      <w:r>
        <w:br w:type="column"/>
      </w:r>
      <w:r w:rsidR="00BB412C" w:rsidRPr="00F64BF4">
        <w:t>Mainstream</w:t>
      </w:r>
    </w:p>
    <w:p w14:paraId="5F601A79" w14:textId="77777777" w:rsidR="00BB412C" w:rsidRPr="00F64BF4" w:rsidRDefault="00BB412C" w:rsidP="00AD392E">
      <w:pPr>
        <w:pStyle w:val="Body-Text"/>
      </w:pPr>
      <w:r w:rsidRPr="00F64BF4">
        <w:t>Products and services that are readily available to the general public, as opposed to being applicable only to a very specific subset of the general population.</w:t>
      </w:r>
    </w:p>
    <w:p w14:paraId="52FF079C" w14:textId="50120BEB" w:rsidR="00BB412C" w:rsidRPr="00F64BF4" w:rsidRDefault="00BB412C" w:rsidP="00170E01">
      <w:pPr>
        <w:pStyle w:val="Heading3Glossary"/>
      </w:pPr>
      <w:r w:rsidRPr="00F64BF4">
        <w:t>National Disability Strategy (NDS)</w:t>
      </w:r>
    </w:p>
    <w:p w14:paraId="4E31D04B" w14:textId="2421DA1B" w:rsidR="00BB412C" w:rsidRPr="00F64BF4" w:rsidRDefault="00BB412C" w:rsidP="00F64BF4">
      <w:pPr>
        <w:pStyle w:val="Body-Text"/>
      </w:pPr>
      <w:r w:rsidRPr="00F64BF4">
        <w:t>National Disability Strategy 2010</w:t>
      </w:r>
      <w:r w:rsidR="00170E01">
        <w:t>–</w:t>
      </w:r>
      <w:r w:rsidRPr="00F64BF4">
        <w:t xml:space="preserve">2020 </w:t>
      </w:r>
      <w:r w:rsidR="00170E01">
        <w:t>—</w:t>
      </w:r>
      <w:r w:rsidRPr="00F64BF4">
        <w:t xml:space="preserve"> a shared commitment by all governments to work together to improve the lives of Australians with disability by guiding governments and other organisations to build the wellbeing of people living with disability and their </w:t>
      </w:r>
      <w:proofErr w:type="spellStart"/>
      <w:r w:rsidRPr="00F64BF4">
        <w:t>carers</w:t>
      </w:r>
      <w:proofErr w:type="spellEnd"/>
      <w:r w:rsidRPr="00F64BF4">
        <w:t>.</w:t>
      </w:r>
    </w:p>
    <w:p w14:paraId="6FB0FBC7" w14:textId="04E48793" w:rsidR="00BB412C" w:rsidRPr="00F64BF4" w:rsidRDefault="00BB412C" w:rsidP="00170E01">
      <w:pPr>
        <w:pStyle w:val="Heading3Glossary"/>
      </w:pPr>
      <w:r w:rsidRPr="00F64BF4">
        <w:t>State authority</w:t>
      </w:r>
    </w:p>
    <w:p w14:paraId="621A8656" w14:textId="77777777" w:rsidR="00BB412C" w:rsidRPr="00F64BF4" w:rsidRDefault="00BB412C" w:rsidP="00F64BF4">
      <w:pPr>
        <w:pStyle w:val="Body-Text"/>
      </w:pPr>
      <w:r w:rsidRPr="00F64BF4">
        <w:t>As defined in the</w:t>
      </w:r>
      <w:r w:rsidRPr="00170E01">
        <w:rPr>
          <w:i/>
          <w:iCs/>
        </w:rPr>
        <w:t xml:space="preserve"> Disability Inclusion Act 2018</w:t>
      </w:r>
      <w:r w:rsidRPr="00F64BF4">
        <w:t xml:space="preserve">: an administrative unit (within the meaning of the </w:t>
      </w:r>
      <w:r w:rsidRPr="00170E01">
        <w:rPr>
          <w:i/>
          <w:iCs/>
        </w:rPr>
        <w:t>Public Sector Act 2009</w:t>
      </w:r>
      <w:r w:rsidRPr="00F64BF4">
        <w:t xml:space="preserve"> (SA), or a local council established under the </w:t>
      </w:r>
      <w:r w:rsidRPr="00170E01">
        <w:rPr>
          <w:i/>
          <w:iCs/>
        </w:rPr>
        <w:t>Local Government Act 1999</w:t>
      </w:r>
      <w:r w:rsidRPr="00F64BF4">
        <w:t xml:space="preserve"> (SA).</w:t>
      </w:r>
    </w:p>
    <w:p w14:paraId="50DCABB7" w14:textId="6810A86F" w:rsidR="00BB412C" w:rsidRPr="00F64BF4" w:rsidRDefault="00BB412C" w:rsidP="00170E01">
      <w:pPr>
        <w:pStyle w:val="Heading3Glossary"/>
      </w:pPr>
      <w:r w:rsidRPr="00F64BF4">
        <w:t>Toolkit</w:t>
      </w:r>
    </w:p>
    <w:p w14:paraId="1F192CDA" w14:textId="77777777" w:rsidR="00BB412C" w:rsidRPr="00F64BF4" w:rsidRDefault="00BB412C" w:rsidP="00F64BF4">
      <w:pPr>
        <w:pStyle w:val="Body-Text"/>
      </w:pPr>
      <w:r w:rsidRPr="00F64BF4">
        <w:t>A suite of information documents that may include guidelines, templates and procedures to assist in the completion of a task</w:t>
      </w:r>
    </w:p>
    <w:p w14:paraId="66A4C4E0" w14:textId="1DF019C4" w:rsidR="00BB412C" w:rsidRPr="00F64BF4" w:rsidRDefault="00BB412C" w:rsidP="00170E01">
      <w:pPr>
        <w:pStyle w:val="Heading3Glossary"/>
      </w:pPr>
      <w:r w:rsidRPr="00F64BF4">
        <w:t>UNCRPD</w:t>
      </w:r>
    </w:p>
    <w:p w14:paraId="0CACB4F3" w14:textId="28EFC259" w:rsidR="00BB412C" w:rsidRPr="00F64BF4" w:rsidRDefault="00BB412C" w:rsidP="00F64BF4">
      <w:pPr>
        <w:pStyle w:val="Body-Text"/>
      </w:pPr>
      <w:r w:rsidRPr="00F64BF4">
        <w:t>United Nations Convention on the Rights of Person</w:t>
      </w:r>
      <w:r w:rsidR="00170E01">
        <w:t>s</w:t>
      </w:r>
      <w:r w:rsidRPr="00F64BF4">
        <w:t xml:space="preserve"> with Disabilities </w:t>
      </w:r>
      <w:r w:rsidR="00170E01">
        <w:t>—</w:t>
      </w:r>
      <w:r w:rsidRPr="00F64BF4">
        <w:t xml:space="preserve"> the convention is a human rights treaty that aims to change attitudes and approaches to people living with disability. It reaffirms that all people living with disability must enjoy human rights and fundamental freedoms</w:t>
      </w:r>
    </w:p>
    <w:p w14:paraId="2C10AA08" w14:textId="23DA66F6" w:rsidR="00BB412C" w:rsidRPr="00F64BF4" w:rsidRDefault="00BB412C" w:rsidP="00170E01">
      <w:pPr>
        <w:pStyle w:val="Heading3Glossary"/>
      </w:pPr>
      <w:r w:rsidRPr="00F64BF4">
        <w:t>Universal Design</w:t>
      </w:r>
    </w:p>
    <w:p w14:paraId="769F1E67" w14:textId="77777777" w:rsidR="00F25C4E" w:rsidRDefault="00BB412C" w:rsidP="00F64BF4">
      <w:pPr>
        <w:pStyle w:val="Body-Text"/>
        <w:sectPr w:rsidR="00F25C4E" w:rsidSect="00F25C4E">
          <w:type w:val="continuous"/>
          <w:pgSz w:w="11906" w:h="16838"/>
          <w:pgMar w:top="1134" w:right="1134" w:bottom="1134" w:left="1134" w:header="709" w:footer="709" w:gutter="0"/>
          <w:cols w:num="2" w:space="708"/>
          <w:docGrid w:linePitch="360"/>
        </w:sectPr>
      </w:pPr>
      <w:r w:rsidRPr="00F64BF4">
        <w:t>Universal Design involves creating facilities, built environs, products and services that can be used by people of all abilities to the greatest extent possible without adaptations</w:t>
      </w:r>
    </w:p>
    <w:p w14:paraId="4A664A16" w14:textId="77777777" w:rsidR="00F25C4E" w:rsidRDefault="00F25C4E">
      <w:pPr>
        <w:rPr>
          <w:rFonts w:ascii="Arial" w:eastAsiaTheme="majorEastAsia" w:hAnsi="Arial" w:cs="Arial"/>
          <w:b/>
          <w:bCs/>
          <w:color w:val="000000" w:themeColor="text1"/>
          <w:sz w:val="32"/>
          <w:szCs w:val="32"/>
        </w:rPr>
      </w:pPr>
      <w:r>
        <w:br w:type="page"/>
      </w:r>
    </w:p>
    <w:p w14:paraId="49BB7EA1" w14:textId="383E5597" w:rsidR="00BB412C" w:rsidRPr="00F64BF4" w:rsidRDefault="00BB412C" w:rsidP="00763113">
      <w:pPr>
        <w:pStyle w:val="Heading2"/>
      </w:pPr>
      <w:bookmarkStart w:id="7" w:name="_Toc31884629"/>
      <w:r w:rsidRPr="00F64BF4">
        <w:lastRenderedPageBreak/>
        <w:t>Appendix One: DAIP Checklist</w:t>
      </w:r>
      <w:bookmarkEnd w:id="7"/>
    </w:p>
    <w:p w14:paraId="38F5D59C" w14:textId="11C93B7A" w:rsidR="00BB412C" w:rsidRDefault="00BB412C" w:rsidP="00F64BF4">
      <w:pPr>
        <w:pStyle w:val="Body-Text"/>
      </w:pPr>
      <w:r w:rsidRPr="00F64BF4">
        <w:t>Suggested Disability Access and Inclusion Plan Checklist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5563"/>
        <w:gridCol w:w="1672"/>
        <w:gridCol w:w="1534"/>
      </w:tblGrid>
      <w:tr w:rsidR="001732CD" w:rsidRPr="00DC7BD3" w14:paraId="760BF8EA" w14:textId="77777777" w:rsidTr="001732CD">
        <w:trPr>
          <w:trHeight w:val="644"/>
          <w:tblHeader/>
        </w:trPr>
        <w:tc>
          <w:tcPr>
            <w:tcW w:w="6345" w:type="dxa"/>
            <w:gridSpan w:val="2"/>
            <w:shd w:val="clear" w:color="auto" w:fill="auto"/>
            <w:vAlign w:val="center"/>
          </w:tcPr>
          <w:p w14:paraId="5FB8812A" w14:textId="77777777" w:rsidR="001732CD" w:rsidRPr="00960D95" w:rsidRDefault="001732CD" w:rsidP="001732CD">
            <w:pPr>
              <w:pStyle w:val="Table-Header"/>
            </w:pPr>
            <w:r w:rsidRPr="00960D95">
              <w:t>Task</w:t>
            </w:r>
          </w:p>
        </w:tc>
        <w:tc>
          <w:tcPr>
            <w:tcW w:w="1701" w:type="dxa"/>
            <w:vAlign w:val="center"/>
          </w:tcPr>
          <w:p w14:paraId="44400ED6" w14:textId="77777777" w:rsidR="001732CD" w:rsidRPr="00960D95" w:rsidRDefault="001732CD" w:rsidP="001732CD">
            <w:pPr>
              <w:pStyle w:val="Table-Header"/>
            </w:pPr>
            <w:r w:rsidRPr="00960D95">
              <w:t>Target date</w:t>
            </w:r>
            <w:r w:rsidRPr="00960D95" w:rsidDel="00450D51">
              <w:t xml:space="preserve"> </w:t>
            </w:r>
          </w:p>
        </w:tc>
        <w:tc>
          <w:tcPr>
            <w:tcW w:w="1560" w:type="dxa"/>
            <w:vAlign w:val="center"/>
          </w:tcPr>
          <w:p w14:paraId="6885F4C4" w14:textId="77777777" w:rsidR="001732CD" w:rsidRPr="00960D95" w:rsidRDefault="001732CD" w:rsidP="001732CD">
            <w:pPr>
              <w:pStyle w:val="Table-Header"/>
            </w:pPr>
            <w:r w:rsidRPr="00960D95">
              <w:t xml:space="preserve">Completed </w:t>
            </w:r>
          </w:p>
        </w:tc>
      </w:tr>
      <w:tr w:rsidR="001732CD" w:rsidRPr="00826A33" w14:paraId="205785CB" w14:textId="77777777" w:rsidTr="001732CD">
        <w:trPr>
          <w:tblHeader/>
        </w:trPr>
        <w:tc>
          <w:tcPr>
            <w:tcW w:w="675" w:type="dxa"/>
            <w:shd w:val="clear" w:color="auto" w:fill="auto"/>
          </w:tcPr>
          <w:p w14:paraId="4459108F" w14:textId="77777777" w:rsidR="001732CD" w:rsidRPr="00826A33" w:rsidRDefault="001732CD" w:rsidP="001732CD">
            <w:pPr>
              <w:pStyle w:val="Table-Text"/>
            </w:pPr>
            <w:r w:rsidRPr="00826A33">
              <w:t>1.</w:t>
            </w:r>
          </w:p>
        </w:tc>
        <w:tc>
          <w:tcPr>
            <w:tcW w:w="5670" w:type="dxa"/>
            <w:shd w:val="clear" w:color="auto" w:fill="auto"/>
            <w:vAlign w:val="center"/>
          </w:tcPr>
          <w:p w14:paraId="27DD18FD" w14:textId="77777777" w:rsidR="001732CD" w:rsidRPr="00826A33" w:rsidRDefault="001732CD" w:rsidP="001732CD">
            <w:pPr>
              <w:pStyle w:val="Table-Text"/>
            </w:pPr>
            <w:r w:rsidRPr="00826A33">
              <w:t>DAIP committee or working group</w:t>
            </w:r>
            <w:r>
              <w:t xml:space="preserve"> </w:t>
            </w:r>
            <w:r w:rsidRPr="00826A33">
              <w:t xml:space="preserve">convened </w:t>
            </w:r>
            <w:r>
              <w:t>(or senior staff member appointed)</w:t>
            </w:r>
            <w:r w:rsidRPr="00826A33">
              <w:t xml:space="preserve"> to oversee process</w:t>
            </w:r>
          </w:p>
        </w:tc>
        <w:tc>
          <w:tcPr>
            <w:tcW w:w="1701" w:type="dxa"/>
          </w:tcPr>
          <w:p w14:paraId="68146FFC" w14:textId="77777777" w:rsidR="001732CD" w:rsidRPr="00826A33" w:rsidRDefault="001732CD" w:rsidP="001732CD">
            <w:pPr>
              <w:pStyle w:val="Table-Text"/>
              <w:rPr>
                <w:color w:val="221E1F"/>
              </w:rPr>
            </w:pPr>
          </w:p>
        </w:tc>
        <w:tc>
          <w:tcPr>
            <w:tcW w:w="1560" w:type="dxa"/>
          </w:tcPr>
          <w:p w14:paraId="7318FAB9" w14:textId="77777777" w:rsidR="001732CD" w:rsidRPr="00826A33" w:rsidRDefault="001732CD" w:rsidP="001732CD">
            <w:pPr>
              <w:pStyle w:val="Table-Text"/>
              <w:rPr>
                <w:color w:val="221E1F"/>
              </w:rPr>
            </w:pPr>
          </w:p>
        </w:tc>
      </w:tr>
      <w:tr w:rsidR="001732CD" w:rsidRPr="00826A33" w14:paraId="4D31873A" w14:textId="77777777" w:rsidTr="001732CD">
        <w:trPr>
          <w:tblHeader/>
        </w:trPr>
        <w:tc>
          <w:tcPr>
            <w:tcW w:w="675" w:type="dxa"/>
            <w:shd w:val="clear" w:color="auto" w:fill="auto"/>
          </w:tcPr>
          <w:p w14:paraId="58B47684" w14:textId="77777777" w:rsidR="001732CD" w:rsidRPr="00826A33" w:rsidRDefault="001732CD" w:rsidP="001732CD">
            <w:pPr>
              <w:pStyle w:val="Table-Text"/>
            </w:pPr>
            <w:r w:rsidRPr="00826A33">
              <w:t>2.</w:t>
            </w:r>
          </w:p>
        </w:tc>
        <w:tc>
          <w:tcPr>
            <w:tcW w:w="5670" w:type="dxa"/>
            <w:shd w:val="clear" w:color="auto" w:fill="auto"/>
            <w:vAlign w:val="center"/>
          </w:tcPr>
          <w:p w14:paraId="1E338185" w14:textId="77777777" w:rsidR="001732CD" w:rsidRPr="00826A33" w:rsidRDefault="001732CD" w:rsidP="001732CD">
            <w:pPr>
              <w:pStyle w:val="Table-Text"/>
            </w:pPr>
            <w:r>
              <w:t>State authority</w:t>
            </w:r>
            <w:r w:rsidRPr="00826A33">
              <w:t xml:space="preserve"> information, services and facilities identified </w:t>
            </w:r>
          </w:p>
        </w:tc>
        <w:tc>
          <w:tcPr>
            <w:tcW w:w="1701" w:type="dxa"/>
          </w:tcPr>
          <w:p w14:paraId="38FC7D72" w14:textId="77777777" w:rsidR="001732CD" w:rsidRPr="00826A33" w:rsidRDefault="001732CD" w:rsidP="001732CD">
            <w:pPr>
              <w:pStyle w:val="Table-Text"/>
              <w:rPr>
                <w:color w:val="221E1F"/>
              </w:rPr>
            </w:pPr>
          </w:p>
        </w:tc>
        <w:tc>
          <w:tcPr>
            <w:tcW w:w="1560" w:type="dxa"/>
          </w:tcPr>
          <w:p w14:paraId="496545BF" w14:textId="77777777" w:rsidR="001732CD" w:rsidRPr="00826A33" w:rsidRDefault="001732CD" w:rsidP="001732CD">
            <w:pPr>
              <w:pStyle w:val="Table-Text"/>
              <w:rPr>
                <w:color w:val="221E1F"/>
              </w:rPr>
            </w:pPr>
          </w:p>
        </w:tc>
      </w:tr>
      <w:tr w:rsidR="001732CD" w:rsidRPr="00826A33" w14:paraId="15549BA4" w14:textId="77777777" w:rsidTr="001732CD">
        <w:trPr>
          <w:tblHeader/>
        </w:trPr>
        <w:tc>
          <w:tcPr>
            <w:tcW w:w="675" w:type="dxa"/>
            <w:shd w:val="clear" w:color="auto" w:fill="auto"/>
          </w:tcPr>
          <w:p w14:paraId="001DA9EB" w14:textId="77777777" w:rsidR="001732CD" w:rsidRPr="00826A33" w:rsidRDefault="001732CD" w:rsidP="001732CD">
            <w:pPr>
              <w:pStyle w:val="Table-Text"/>
            </w:pPr>
            <w:r w:rsidRPr="00826A33">
              <w:t>3.</w:t>
            </w:r>
          </w:p>
        </w:tc>
        <w:tc>
          <w:tcPr>
            <w:tcW w:w="5670" w:type="dxa"/>
            <w:shd w:val="clear" w:color="auto" w:fill="auto"/>
            <w:vAlign w:val="center"/>
          </w:tcPr>
          <w:p w14:paraId="0D0C5ACA" w14:textId="77777777" w:rsidR="001732CD" w:rsidRPr="00826A33" w:rsidRDefault="001732CD" w:rsidP="001732CD">
            <w:pPr>
              <w:pStyle w:val="Table-Text"/>
            </w:pPr>
            <w:r w:rsidRPr="00826A33">
              <w:t xml:space="preserve">Background information about people </w:t>
            </w:r>
            <w:r>
              <w:t xml:space="preserve">living </w:t>
            </w:r>
            <w:r w:rsidRPr="00826A33">
              <w:t xml:space="preserve">with disability, previous action plans and initiatives compiled </w:t>
            </w:r>
          </w:p>
        </w:tc>
        <w:tc>
          <w:tcPr>
            <w:tcW w:w="1701" w:type="dxa"/>
          </w:tcPr>
          <w:p w14:paraId="2E03B6A0" w14:textId="77777777" w:rsidR="001732CD" w:rsidRPr="00826A33" w:rsidRDefault="001732CD" w:rsidP="001732CD">
            <w:pPr>
              <w:pStyle w:val="Table-Text"/>
              <w:rPr>
                <w:color w:val="221E1F"/>
              </w:rPr>
            </w:pPr>
          </w:p>
        </w:tc>
        <w:tc>
          <w:tcPr>
            <w:tcW w:w="1560" w:type="dxa"/>
          </w:tcPr>
          <w:p w14:paraId="5F81E5AA" w14:textId="77777777" w:rsidR="001732CD" w:rsidRPr="00826A33" w:rsidRDefault="001732CD" w:rsidP="001732CD">
            <w:pPr>
              <w:pStyle w:val="Table-Text"/>
              <w:rPr>
                <w:color w:val="221E1F"/>
              </w:rPr>
            </w:pPr>
          </w:p>
        </w:tc>
      </w:tr>
      <w:tr w:rsidR="001732CD" w:rsidRPr="00826A33" w14:paraId="37ED3C23" w14:textId="77777777" w:rsidTr="001732CD">
        <w:trPr>
          <w:tblHeader/>
        </w:trPr>
        <w:tc>
          <w:tcPr>
            <w:tcW w:w="675" w:type="dxa"/>
            <w:vMerge w:val="restart"/>
            <w:shd w:val="clear" w:color="auto" w:fill="auto"/>
          </w:tcPr>
          <w:p w14:paraId="69E39B85" w14:textId="77777777" w:rsidR="001732CD" w:rsidRPr="00826A33" w:rsidRDefault="001732CD" w:rsidP="001732CD">
            <w:pPr>
              <w:pStyle w:val="Table-Text"/>
            </w:pPr>
            <w:r>
              <w:t>4</w:t>
            </w:r>
            <w:r w:rsidRPr="00826A33">
              <w:t>.</w:t>
            </w:r>
          </w:p>
          <w:p w14:paraId="5BD23F51" w14:textId="77777777" w:rsidR="001732CD" w:rsidRPr="00826A33" w:rsidRDefault="001732CD" w:rsidP="001732CD">
            <w:pPr>
              <w:pStyle w:val="Table-Text"/>
            </w:pPr>
          </w:p>
        </w:tc>
        <w:tc>
          <w:tcPr>
            <w:tcW w:w="5670" w:type="dxa"/>
            <w:shd w:val="clear" w:color="auto" w:fill="auto"/>
            <w:vAlign w:val="center"/>
          </w:tcPr>
          <w:p w14:paraId="2BD3E5E3" w14:textId="77777777" w:rsidR="001732CD" w:rsidRPr="00826A33" w:rsidRDefault="001732CD" w:rsidP="001732CD">
            <w:pPr>
              <w:pStyle w:val="Table-Text"/>
            </w:pPr>
            <w:r w:rsidRPr="00826A33">
              <w:t>a. Community engagement strategy determined</w:t>
            </w:r>
          </w:p>
        </w:tc>
        <w:tc>
          <w:tcPr>
            <w:tcW w:w="1701" w:type="dxa"/>
          </w:tcPr>
          <w:p w14:paraId="7B26F8AC" w14:textId="77777777" w:rsidR="001732CD" w:rsidRPr="00826A33" w:rsidRDefault="001732CD" w:rsidP="001732CD">
            <w:pPr>
              <w:pStyle w:val="Table-Text"/>
              <w:rPr>
                <w:color w:val="221E1F"/>
              </w:rPr>
            </w:pPr>
          </w:p>
        </w:tc>
        <w:tc>
          <w:tcPr>
            <w:tcW w:w="1560" w:type="dxa"/>
          </w:tcPr>
          <w:p w14:paraId="211EDC11" w14:textId="77777777" w:rsidR="001732CD" w:rsidRPr="00826A33" w:rsidRDefault="001732CD" w:rsidP="001732CD">
            <w:pPr>
              <w:pStyle w:val="Table-Text"/>
              <w:rPr>
                <w:color w:val="221E1F"/>
              </w:rPr>
            </w:pPr>
          </w:p>
        </w:tc>
      </w:tr>
      <w:tr w:rsidR="001732CD" w:rsidRPr="00826A33" w14:paraId="1A5F8208" w14:textId="77777777" w:rsidTr="001732CD">
        <w:trPr>
          <w:tblHeader/>
        </w:trPr>
        <w:tc>
          <w:tcPr>
            <w:tcW w:w="675" w:type="dxa"/>
            <w:vMerge/>
            <w:shd w:val="clear" w:color="auto" w:fill="auto"/>
          </w:tcPr>
          <w:p w14:paraId="2328DAE4" w14:textId="77777777" w:rsidR="001732CD" w:rsidRPr="00826A33" w:rsidRDefault="001732CD" w:rsidP="001732CD">
            <w:pPr>
              <w:pStyle w:val="Table-Text"/>
            </w:pPr>
          </w:p>
        </w:tc>
        <w:tc>
          <w:tcPr>
            <w:tcW w:w="5670" w:type="dxa"/>
            <w:shd w:val="clear" w:color="auto" w:fill="auto"/>
            <w:vAlign w:val="center"/>
          </w:tcPr>
          <w:p w14:paraId="71621DF0" w14:textId="77777777" w:rsidR="001732CD" w:rsidRPr="00826A33" w:rsidRDefault="001732CD" w:rsidP="001732CD">
            <w:pPr>
              <w:pStyle w:val="Table-Text"/>
            </w:pPr>
            <w:r w:rsidRPr="00826A33">
              <w:t>b. Community engagement strategy implemented</w:t>
            </w:r>
          </w:p>
        </w:tc>
        <w:tc>
          <w:tcPr>
            <w:tcW w:w="1701" w:type="dxa"/>
          </w:tcPr>
          <w:p w14:paraId="5C237A78" w14:textId="77777777" w:rsidR="001732CD" w:rsidRPr="00826A33" w:rsidRDefault="001732CD" w:rsidP="001732CD">
            <w:pPr>
              <w:pStyle w:val="Table-Text"/>
              <w:rPr>
                <w:color w:val="221E1F"/>
              </w:rPr>
            </w:pPr>
          </w:p>
        </w:tc>
        <w:tc>
          <w:tcPr>
            <w:tcW w:w="1560" w:type="dxa"/>
          </w:tcPr>
          <w:p w14:paraId="581E3837" w14:textId="77777777" w:rsidR="001732CD" w:rsidRPr="00826A33" w:rsidRDefault="001732CD" w:rsidP="001732CD">
            <w:pPr>
              <w:pStyle w:val="Table-Text"/>
              <w:rPr>
                <w:color w:val="221E1F"/>
              </w:rPr>
            </w:pPr>
          </w:p>
        </w:tc>
      </w:tr>
      <w:tr w:rsidR="001732CD" w:rsidRPr="00826A33" w14:paraId="69A234AE" w14:textId="77777777" w:rsidTr="001732CD">
        <w:trPr>
          <w:tblHeader/>
        </w:trPr>
        <w:tc>
          <w:tcPr>
            <w:tcW w:w="675" w:type="dxa"/>
            <w:shd w:val="clear" w:color="auto" w:fill="auto"/>
          </w:tcPr>
          <w:p w14:paraId="5D0C1D89" w14:textId="77777777" w:rsidR="001732CD" w:rsidRPr="00826A33" w:rsidRDefault="001732CD" w:rsidP="001732CD">
            <w:pPr>
              <w:pStyle w:val="Table-Text"/>
            </w:pPr>
            <w:r>
              <w:t>5</w:t>
            </w:r>
            <w:r w:rsidRPr="00826A33">
              <w:t>.</w:t>
            </w:r>
          </w:p>
        </w:tc>
        <w:tc>
          <w:tcPr>
            <w:tcW w:w="5670" w:type="dxa"/>
            <w:shd w:val="clear" w:color="auto" w:fill="auto"/>
            <w:vAlign w:val="center"/>
          </w:tcPr>
          <w:p w14:paraId="34D5E630" w14:textId="77777777" w:rsidR="001732CD" w:rsidRPr="00826A33" w:rsidRDefault="001732CD" w:rsidP="001732CD">
            <w:pPr>
              <w:pStyle w:val="Table-Text"/>
            </w:pPr>
            <w:r w:rsidRPr="00826A33">
              <w:t xml:space="preserve">Incorporate findings (barriers and solutions) into draft DAIP </w:t>
            </w:r>
          </w:p>
        </w:tc>
        <w:tc>
          <w:tcPr>
            <w:tcW w:w="1701" w:type="dxa"/>
          </w:tcPr>
          <w:p w14:paraId="0CEC9BFA" w14:textId="77777777" w:rsidR="001732CD" w:rsidRPr="00826A33" w:rsidRDefault="001732CD" w:rsidP="001732CD">
            <w:pPr>
              <w:pStyle w:val="Table-Text"/>
              <w:rPr>
                <w:color w:val="221E1F"/>
              </w:rPr>
            </w:pPr>
          </w:p>
        </w:tc>
        <w:tc>
          <w:tcPr>
            <w:tcW w:w="1560" w:type="dxa"/>
          </w:tcPr>
          <w:p w14:paraId="6C2885CF" w14:textId="77777777" w:rsidR="001732CD" w:rsidRPr="00826A33" w:rsidRDefault="001732CD" w:rsidP="001732CD">
            <w:pPr>
              <w:pStyle w:val="Table-Text"/>
              <w:rPr>
                <w:color w:val="221E1F"/>
              </w:rPr>
            </w:pPr>
          </w:p>
        </w:tc>
      </w:tr>
      <w:tr w:rsidR="001732CD" w:rsidRPr="00826A33" w14:paraId="03FAD1D6" w14:textId="77777777" w:rsidTr="001732CD">
        <w:trPr>
          <w:tblHeader/>
        </w:trPr>
        <w:tc>
          <w:tcPr>
            <w:tcW w:w="675" w:type="dxa"/>
            <w:shd w:val="clear" w:color="auto" w:fill="auto"/>
          </w:tcPr>
          <w:p w14:paraId="0ECBF95D" w14:textId="77777777" w:rsidR="001732CD" w:rsidRPr="00826A33" w:rsidRDefault="001732CD" w:rsidP="001732CD">
            <w:pPr>
              <w:pStyle w:val="Table-Text"/>
            </w:pPr>
            <w:r>
              <w:t>6</w:t>
            </w:r>
            <w:r w:rsidRPr="00826A33">
              <w:t>.</w:t>
            </w:r>
          </w:p>
        </w:tc>
        <w:tc>
          <w:tcPr>
            <w:tcW w:w="5670" w:type="dxa"/>
            <w:shd w:val="clear" w:color="auto" w:fill="auto"/>
            <w:vAlign w:val="center"/>
          </w:tcPr>
          <w:p w14:paraId="422A2BD1" w14:textId="77777777" w:rsidR="001732CD" w:rsidRPr="00826A33" w:rsidRDefault="001732CD" w:rsidP="001732CD">
            <w:pPr>
              <w:pStyle w:val="Table-Text"/>
            </w:pPr>
            <w:r w:rsidRPr="00826A33">
              <w:t>Determine monitoring, reviewing and reporting mechanisms</w:t>
            </w:r>
          </w:p>
        </w:tc>
        <w:tc>
          <w:tcPr>
            <w:tcW w:w="1701" w:type="dxa"/>
          </w:tcPr>
          <w:p w14:paraId="66DFD241" w14:textId="77777777" w:rsidR="001732CD" w:rsidRPr="00826A33" w:rsidRDefault="001732CD" w:rsidP="001732CD">
            <w:pPr>
              <w:pStyle w:val="Table-Text"/>
              <w:rPr>
                <w:color w:val="221E1F"/>
              </w:rPr>
            </w:pPr>
          </w:p>
        </w:tc>
        <w:tc>
          <w:tcPr>
            <w:tcW w:w="1560" w:type="dxa"/>
          </w:tcPr>
          <w:p w14:paraId="339205F2" w14:textId="77777777" w:rsidR="001732CD" w:rsidRPr="00826A33" w:rsidRDefault="001732CD" w:rsidP="001732CD">
            <w:pPr>
              <w:pStyle w:val="Table-Text"/>
              <w:rPr>
                <w:color w:val="221E1F"/>
              </w:rPr>
            </w:pPr>
          </w:p>
        </w:tc>
      </w:tr>
      <w:tr w:rsidR="001732CD" w:rsidRPr="00826A33" w14:paraId="324C6D79" w14:textId="77777777" w:rsidTr="001732CD">
        <w:trPr>
          <w:tblHeader/>
        </w:trPr>
        <w:tc>
          <w:tcPr>
            <w:tcW w:w="675" w:type="dxa"/>
            <w:vMerge w:val="restart"/>
            <w:shd w:val="clear" w:color="auto" w:fill="auto"/>
          </w:tcPr>
          <w:p w14:paraId="4850A5B4" w14:textId="77777777" w:rsidR="001732CD" w:rsidRPr="00826A33" w:rsidRDefault="001732CD" w:rsidP="001732CD">
            <w:pPr>
              <w:pStyle w:val="Table-Text"/>
            </w:pPr>
            <w:r>
              <w:t>7</w:t>
            </w:r>
            <w:r w:rsidRPr="00826A33">
              <w:t>.</w:t>
            </w:r>
          </w:p>
          <w:p w14:paraId="58F1D59D" w14:textId="77777777" w:rsidR="001732CD" w:rsidRPr="00826A33" w:rsidRDefault="001732CD" w:rsidP="001732CD">
            <w:pPr>
              <w:pStyle w:val="Table-Text"/>
            </w:pPr>
          </w:p>
        </w:tc>
        <w:tc>
          <w:tcPr>
            <w:tcW w:w="5670" w:type="dxa"/>
            <w:shd w:val="clear" w:color="auto" w:fill="auto"/>
            <w:vAlign w:val="center"/>
          </w:tcPr>
          <w:p w14:paraId="509CBF1A" w14:textId="77777777" w:rsidR="001732CD" w:rsidRPr="00826A33" w:rsidRDefault="001732CD" w:rsidP="001732CD">
            <w:pPr>
              <w:pStyle w:val="Table-Text"/>
            </w:pPr>
            <w:r w:rsidRPr="00826A33">
              <w:t>a. Seek feedback on draft DAIP</w:t>
            </w:r>
            <w:r>
              <w:t xml:space="preserve"> from key stakeholders</w:t>
            </w:r>
          </w:p>
        </w:tc>
        <w:tc>
          <w:tcPr>
            <w:tcW w:w="1701" w:type="dxa"/>
          </w:tcPr>
          <w:p w14:paraId="285C24D5" w14:textId="77777777" w:rsidR="001732CD" w:rsidRPr="00826A33" w:rsidRDefault="001732CD" w:rsidP="001732CD">
            <w:pPr>
              <w:pStyle w:val="Table-Text"/>
              <w:rPr>
                <w:color w:val="221E1F"/>
              </w:rPr>
            </w:pPr>
          </w:p>
        </w:tc>
        <w:tc>
          <w:tcPr>
            <w:tcW w:w="1560" w:type="dxa"/>
          </w:tcPr>
          <w:p w14:paraId="71FDD7CB" w14:textId="77777777" w:rsidR="001732CD" w:rsidRPr="00826A33" w:rsidRDefault="001732CD" w:rsidP="001732CD">
            <w:pPr>
              <w:pStyle w:val="Table-Text"/>
              <w:rPr>
                <w:color w:val="221E1F"/>
              </w:rPr>
            </w:pPr>
          </w:p>
        </w:tc>
      </w:tr>
      <w:tr w:rsidR="001732CD" w:rsidRPr="00826A33" w14:paraId="6C495325" w14:textId="77777777" w:rsidTr="001732CD">
        <w:trPr>
          <w:tblHeader/>
        </w:trPr>
        <w:tc>
          <w:tcPr>
            <w:tcW w:w="675" w:type="dxa"/>
            <w:vMerge/>
            <w:shd w:val="clear" w:color="auto" w:fill="auto"/>
          </w:tcPr>
          <w:p w14:paraId="391095FF" w14:textId="77777777" w:rsidR="001732CD" w:rsidRPr="00826A33" w:rsidRDefault="001732CD" w:rsidP="001732CD">
            <w:pPr>
              <w:pStyle w:val="Table-Text"/>
            </w:pPr>
          </w:p>
        </w:tc>
        <w:tc>
          <w:tcPr>
            <w:tcW w:w="5670" w:type="dxa"/>
            <w:shd w:val="clear" w:color="auto" w:fill="auto"/>
            <w:vAlign w:val="center"/>
          </w:tcPr>
          <w:p w14:paraId="4C5725B6" w14:textId="77777777" w:rsidR="001732CD" w:rsidRPr="00826A33" w:rsidRDefault="001732CD" w:rsidP="001732CD">
            <w:pPr>
              <w:pStyle w:val="Table-Text"/>
            </w:pPr>
            <w:r w:rsidRPr="00826A33">
              <w:t>b. Finalise DAIP, endorsement by Elected Members</w:t>
            </w:r>
            <w:r>
              <w:t xml:space="preserve"> / Senior Executive</w:t>
            </w:r>
          </w:p>
        </w:tc>
        <w:tc>
          <w:tcPr>
            <w:tcW w:w="1701" w:type="dxa"/>
          </w:tcPr>
          <w:p w14:paraId="464E9B4C" w14:textId="77777777" w:rsidR="001732CD" w:rsidRPr="00826A33" w:rsidRDefault="001732CD" w:rsidP="001732CD">
            <w:pPr>
              <w:pStyle w:val="Table-Text"/>
              <w:rPr>
                <w:color w:val="221E1F"/>
              </w:rPr>
            </w:pPr>
          </w:p>
        </w:tc>
        <w:tc>
          <w:tcPr>
            <w:tcW w:w="1560" w:type="dxa"/>
          </w:tcPr>
          <w:p w14:paraId="50A886D4" w14:textId="77777777" w:rsidR="001732CD" w:rsidRPr="00826A33" w:rsidRDefault="001732CD" w:rsidP="001732CD">
            <w:pPr>
              <w:pStyle w:val="Table-Text"/>
              <w:rPr>
                <w:color w:val="221E1F"/>
              </w:rPr>
            </w:pPr>
          </w:p>
        </w:tc>
      </w:tr>
      <w:tr w:rsidR="001732CD" w:rsidRPr="00826A33" w14:paraId="11A9844D" w14:textId="77777777" w:rsidTr="001732CD">
        <w:trPr>
          <w:tblHeader/>
        </w:trPr>
        <w:tc>
          <w:tcPr>
            <w:tcW w:w="675" w:type="dxa"/>
            <w:vMerge/>
            <w:shd w:val="clear" w:color="auto" w:fill="auto"/>
          </w:tcPr>
          <w:p w14:paraId="5407B45E" w14:textId="77777777" w:rsidR="001732CD" w:rsidRPr="00826A33" w:rsidRDefault="001732CD" w:rsidP="001732CD">
            <w:pPr>
              <w:pStyle w:val="Table-Text"/>
            </w:pPr>
          </w:p>
        </w:tc>
        <w:tc>
          <w:tcPr>
            <w:tcW w:w="5670" w:type="dxa"/>
            <w:shd w:val="clear" w:color="auto" w:fill="auto"/>
            <w:vAlign w:val="center"/>
          </w:tcPr>
          <w:p w14:paraId="469F52CA" w14:textId="77777777" w:rsidR="001732CD" w:rsidRPr="00826A33" w:rsidRDefault="001732CD" w:rsidP="001732CD">
            <w:pPr>
              <w:pStyle w:val="Table-Text"/>
            </w:pPr>
            <w:r w:rsidRPr="00826A33">
              <w:t>c. Promote DAIP to staff and community</w:t>
            </w:r>
          </w:p>
        </w:tc>
        <w:tc>
          <w:tcPr>
            <w:tcW w:w="1701" w:type="dxa"/>
          </w:tcPr>
          <w:p w14:paraId="6937E4A6" w14:textId="77777777" w:rsidR="001732CD" w:rsidRPr="00826A33" w:rsidRDefault="001732CD" w:rsidP="001732CD">
            <w:pPr>
              <w:pStyle w:val="Table-Text"/>
              <w:rPr>
                <w:color w:val="221E1F"/>
              </w:rPr>
            </w:pPr>
          </w:p>
        </w:tc>
        <w:tc>
          <w:tcPr>
            <w:tcW w:w="1560" w:type="dxa"/>
          </w:tcPr>
          <w:p w14:paraId="204BA945" w14:textId="77777777" w:rsidR="001732CD" w:rsidRPr="00826A33" w:rsidRDefault="001732CD" w:rsidP="001732CD">
            <w:pPr>
              <w:pStyle w:val="Table-Text"/>
              <w:rPr>
                <w:color w:val="221E1F"/>
              </w:rPr>
            </w:pPr>
          </w:p>
        </w:tc>
      </w:tr>
      <w:tr w:rsidR="001732CD" w:rsidRPr="00826A33" w14:paraId="1742B1C6" w14:textId="77777777" w:rsidTr="001732CD">
        <w:trPr>
          <w:tblHeader/>
        </w:trPr>
        <w:tc>
          <w:tcPr>
            <w:tcW w:w="675" w:type="dxa"/>
            <w:vMerge/>
            <w:shd w:val="clear" w:color="auto" w:fill="auto"/>
          </w:tcPr>
          <w:p w14:paraId="2F453559" w14:textId="77777777" w:rsidR="001732CD" w:rsidRPr="00826A33" w:rsidRDefault="001732CD" w:rsidP="001732CD">
            <w:pPr>
              <w:pStyle w:val="Table-Text"/>
            </w:pPr>
          </w:p>
        </w:tc>
        <w:tc>
          <w:tcPr>
            <w:tcW w:w="5670" w:type="dxa"/>
            <w:shd w:val="clear" w:color="auto" w:fill="auto"/>
            <w:vAlign w:val="center"/>
          </w:tcPr>
          <w:p w14:paraId="0D1C53BA" w14:textId="77777777" w:rsidR="001732CD" w:rsidRPr="00826A33" w:rsidRDefault="001732CD" w:rsidP="001732CD">
            <w:pPr>
              <w:pStyle w:val="Table-Text"/>
            </w:pPr>
            <w:r w:rsidRPr="00826A33">
              <w:t xml:space="preserve">d. DAIP progress reported in annual reports, website, newsletters </w:t>
            </w:r>
          </w:p>
        </w:tc>
        <w:tc>
          <w:tcPr>
            <w:tcW w:w="1701" w:type="dxa"/>
          </w:tcPr>
          <w:p w14:paraId="12C4C97C" w14:textId="77777777" w:rsidR="001732CD" w:rsidRPr="00826A33" w:rsidRDefault="001732CD" w:rsidP="001732CD">
            <w:pPr>
              <w:pStyle w:val="Table-Text"/>
              <w:rPr>
                <w:color w:val="221E1F"/>
              </w:rPr>
            </w:pPr>
          </w:p>
        </w:tc>
        <w:tc>
          <w:tcPr>
            <w:tcW w:w="1560" w:type="dxa"/>
          </w:tcPr>
          <w:p w14:paraId="22725564" w14:textId="77777777" w:rsidR="001732CD" w:rsidRPr="00826A33" w:rsidRDefault="001732CD" w:rsidP="001732CD">
            <w:pPr>
              <w:pStyle w:val="Table-Text"/>
              <w:rPr>
                <w:color w:val="221E1F"/>
              </w:rPr>
            </w:pPr>
          </w:p>
        </w:tc>
      </w:tr>
    </w:tbl>
    <w:p w14:paraId="6FFB7C37" w14:textId="77777777" w:rsidR="001732CD" w:rsidRPr="00F64BF4" w:rsidRDefault="001732CD" w:rsidP="00F64BF4">
      <w:pPr>
        <w:pStyle w:val="Body-Text"/>
      </w:pPr>
    </w:p>
    <w:p w14:paraId="006730D6" w14:textId="77777777" w:rsidR="001732CD" w:rsidRDefault="001732CD">
      <w:pPr>
        <w:rPr>
          <w:rFonts w:ascii="Arial" w:eastAsiaTheme="majorEastAsia" w:hAnsi="Arial" w:cs="Arial"/>
          <w:b/>
          <w:bCs/>
          <w:color w:val="000000" w:themeColor="text1"/>
          <w:sz w:val="32"/>
          <w:szCs w:val="32"/>
        </w:rPr>
      </w:pPr>
      <w:r>
        <w:br w:type="page"/>
      </w:r>
    </w:p>
    <w:p w14:paraId="07FF4991" w14:textId="27303B7F" w:rsidR="00BB412C" w:rsidRPr="00F64BF4" w:rsidRDefault="00BB412C" w:rsidP="00763113">
      <w:pPr>
        <w:pStyle w:val="Heading2"/>
      </w:pPr>
      <w:bookmarkStart w:id="8" w:name="_Toc31884630"/>
      <w:r w:rsidRPr="00F64BF4">
        <w:lastRenderedPageBreak/>
        <w:t>Appendix Two: Useful Resources</w:t>
      </w:r>
      <w:bookmarkEnd w:id="8"/>
    </w:p>
    <w:p w14:paraId="66177AA6" w14:textId="77777777" w:rsidR="00BB412C" w:rsidRPr="00F64BF4" w:rsidRDefault="00BB412C" w:rsidP="00763113">
      <w:pPr>
        <w:pStyle w:val="Heading33"/>
      </w:pPr>
      <w:bookmarkStart w:id="9" w:name="_Toc31884631"/>
      <w:r w:rsidRPr="00F64BF4">
        <w:t>International</w:t>
      </w:r>
      <w:bookmarkEnd w:id="9"/>
    </w:p>
    <w:p w14:paraId="1986E3B4" w14:textId="114A73D6" w:rsidR="00BB412C" w:rsidRPr="00F64BF4" w:rsidRDefault="002B4CE4" w:rsidP="00F64BF4">
      <w:pPr>
        <w:pStyle w:val="Body-Text"/>
      </w:pPr>
      <w:hyperlink r:id="rId16" w:history="1">
        <w:r w:rsidR="00BB412C" w:rsidRPr="00A961A1">
          <w:rPr>
            <w:rStyle w:val="Hyperlink"/>
          </w:rPr>
          <w:t>United Nations Convention on the Rights of Persons with Disabilities</w:t>
        </w:r>
      </w:hyperlink>
      <w:r w:rsidR="00BB412C" w:rsidRPr="00F64BF4">
        <w:t xml:space="preserve"> (and </w:t>
      </w:r>
      <w:hyperlink r:id="rId17" w:history="1">
        <w:r w:rsidR="00BB412C" w:rsidRPr="005D770D">
          <w:rPr>
            <w:rStyle w:val="Hyperlink"/>
          </w:rPr>
          <w:t>Optional Protocol</w:t>
        </w:r>
      </w:hyperlink>
      <w:r w:rsidR="00BB412C" w:rsidRPr="00F64BF4">
        <w:t xml:space="preserve">) </w:t>
      </w:r>
    </w:p>
    <w:p w14:paraId="3CFF2267" w14:textId="2A3D04CC" w:rsidR="00BB412C" w:rsidRPr="00F64BF4" w:rsidRDefault="00BB412C" w:rsidP="00763113">
      <w:pPr>
        <w:pStyle w:val="Heading33"/>
      </w:pPr>
      <w:bookmarkStart w:id="10" w:name="_Toc31884632"/>
      <w:r w:rsidRPr="007A63AB">
        <w:t>National</w:t>
      </w:r>
      <w:bookmarkEnd w:id="10"/>
    </w:p>
    <w:p w14:paraId="740BB607" w14:textId="6BF6E9F6" w:rsidR="00C464DA" w:rsidRPr="00E1601C" w:rsidRDefault="002B4CE4" w:rsidP="00C464DA">
      <w:pPr>
        <w:pStyle w:val="Listbulletlevel1"/>
        <w:numPr>
          <w:ilvl w:val="0"/>
          <w:numId w:val="0"/>
        </w:numPr>
        <w:rPr>
          <w:rStyle w:val="Hyperlink"/>
          <w:i/>
        </w:rPr>
      </w:pPr>
      <w:hyperlink r:id="rId18" w:history="1">
        <w:proofErr w:type="spellStart"/>
        <w:r w:rsidR="00C464DA" w:rsidRPr="00E1601C">
          <w:rPr>
            <w:rStyle w:val="Hyperlink"/>
            <w:i/>
          </w:rPr>
          <w:t>Carer</w:t>
        </w:r>
        <w:proofErr w:type="spellEnd"/>
        <w:r w:rsidR="00C464DA" w:rsidRPr="00E1601C">
          <w:rPr>
            <w:rStyle w:val="Hyperlink"/>
            <w:i/>
          </w:rPr>
          <w:t xml:space="preserve"> Recognition Act 2010</w:t>
        </w:r>
      </w:hyperlink>
      <w:r w:rsidR="00C464DA" w:rsidRPr="00E1601C">
        <w:rPr>
          <w:rStyle w:val="Hyperlink"/>
          <w:i/>
        </w:rPr>
        <w:t xml:space="preserve"> </w:t>
      </w:r>
    </w:p>
    <w:p w14:paraId="00532D39" w14:textId="260AF49C" w:rsidR="00C464DA" w:rsidRPr="00E1601C" w:rsidRDefault="002B4CE4" w:rsidP="00C464DA">
      <w:pPr>
        <w:pStyle w:val="Listbulletlevel1"/>
        <w:numPr>
          <w:ilvl w:val="0"/>
          <w:numId w:val="0"/>
        </w:numPr>
        <w:rPr>
          <w:rStyle w:val="Hyperlink"/>
          <w:i/>
        </w:rPr>
      </w:pPr>
      <w:hyperlink r:id="rId19" w:history="1">
        <w:r w:rsidR="00C464DA" w:rsidRPr="00E1601C">
          <w:rPr>
            <w:rStyle w:val="Hyperlink"/>
            <w:i/>
          </w:rPr>
          <w:t>Disability Discrimination Act 1992</w:t>
        </w:r>
      </w:hyperlink>
    </w:p>
    <w:p w14:paraId="14389AE4" w14:textId="6742D036" w:rsidR="00BB412C" w:rsidRPr="00F64BF4" w:rsidRDefault="002B4CE4" w:rsidP="00F64BF4">
      <w:pPr>
        <w:pStyle w:val="Body-Text"/>
      </w:pPr>
      <w:hyperlink r:id="rId20" w:history="1">
        <w:r w:rsidR="00BB412C" w:rsidRPr="00A961A1">
          <w:rPr>
            <w:rStyle w:val="Hyperlink"/>
          </w:rPr>
          <w:t>Disability standards for Accessible Public Transport</w:t>
        </w:r>
      </w:hyperlink>
    </w:p>
    <w:p w14:paraId="5A9ADEC4" w14:textId="033B2DAF" w:rsidR="00BB412C" w:rsidRPr="00F64BF4" w:rsidRDefault="002B4CE4" w:rsidP="00F64BF4">
      <w:pPr>
        <w:pStyle w:val="Body-Text"/>
      </w:pPr>
      <w:hyperlink r:id="rId21" w:history="1">
        <w:r w:rsidR="00BB412C" w:rsidRPr="00A961A1">
          <w:rPr>
            <w:rStyle w:val="Hyperlink"/>
          </w:rPr>
          <w:t>Disability standards for access to Premises – Buildings</w:t>
        </w:r>
      </w:hyperlink>
    </w:p>
    <w:p w14:paraId="0260D90D" w14:textId="5FD2E09E" w:rsidR="00BB412C" w:rsidRPr="00F64BF4" w:rsidRDefault="002B4CE4" w:rsidP="00F64BF4">
      <w:pPr>
        <w:pStyle w:val="Body-Text"/>
      </w:pPr>
      <w:hyperlink r:id="rId22" w:history="1">
        <w:r w:rsidR="00BB412C" w:rsidRPr="00A735D4">
          <w:rPr>
            <w:rStyle w:val="Hyperlink"/>
          </w:rPr>
          <w:t>Disability standards for Education</w:t>
        </w:r>
      </w:hyperlink>
    </w:p>
    <w:p w14:paraId="1E42F0D5" w14:textId="357D3894" w:rsidR="00DE13D3" w:rsidRPr="00960D95" w:rsidRDefault="002B4CE4" w:rsidP="00DE13D3">
      <w:pPr>
        <w:pStyle w:val="Listbulletlevel1"/>
        <w:numPr>
          <w:ilvl w:val="0"/>
          <w:numId w:val="0"/>
        </w:numPr>
        <w:rPr>
          <w:rStyle w:val="Hyperlink"/>
        </w:rPr>
      </w:pPr>
      <w:hyperlink r:id="rId23" w:history="1">
        <w:r w:rsidR="00DE13D3" w:rsidRPr="00960D95">
          <w:rPr>
            <w:rStyle w:val="Hyperlink"/>
          </w:rPr>
          <w:t xml:space="preserve">National </w:t>
        </w:r>
        <w:proofErr w:type="spellStart"/>
        <w:r w:rsidR="00DE13D3" w:rsidRPr="00960D95">
          <w:rPr>
            <w:rStyle w:val="Hyperlink"/>
          </w:rPr>
          <w:t>Carer</w:t>
        </w:r>
        <w:proofErr w:type="spellEnd"/>
        <w:r w:rsidR="00DE13D3" w:rsidRPr="00960D95">
          <w:rPr>
            <w:rStyle w:val="Hyperlink"/>
          </w:rPr>
          <w:t xml:space="preserve"> Strateg</w:t>
        </w:r>
        <w:r w:rsidR="00E22EA6">
          <w:rPr>
            <w:rStyle w:val="Hyperlink"/>
          </w:rPr>
          <w:t>y (PDF 1.</w:t>
        </w:r>
        <w:r w:rsidR="009650BB">
          <w:rPr>
            <w:rStyle w:val="Hyperlink"/>
          </w:rPr>
          <w:t>2</w:t>
        </w:r>
        <w:r w:rsidR="005B32EB">
          <w:rPr>
            <w:rStyle w:val="Hyperlink"/>
          </w:rPr>
          <w:t xml:space="preserve"> </w:t>
        </w:r>
        <w:r w:rsidR="00E22EA6">
          <w:rPr>
            <w:rStyle w:val="Hyperlink"/>
          </w:rPr>
          <w:t>MB)</w:t>
        </w:r>
      </w:hyperlink>
      <w:r w:rsidR="00DE13D3" w:rsidRPr="00960D95">
        <w:rPr>
          <w:rStyle w:val="Hyperlink"/>
        </w:rPr>
        <w:t xml:space="preserve"> </w:t>
      </w:r>
    </w:p>
    <w:p w14:paraId="091DCEEF" w14:textId="36454627" w:rsidR="00DE13D3" w:rsidRPr="00960D95" w:rsidRDefault="002B4CE4" w:rsidP="00DE13D3">
      <w:pPr>
        <w:pStyle w:val="Listbulletlevel1"/>
        <w:numPr>
          <w:ilvl w:val="0"/>
          <w:numId w:val="0"/>
        </w:numPr>
        <w:rPr>
          <w:rStyle w:val="Hyperlink"/>
        </w:rPr>
      </w:pPr>
      <w:hyperlink r:id="rId24" w:history="1">
        <w:r w:rsidR="00DE13D3" w:rsidRPr="00960D95">
          <w:rPr>
            <w:rStyle w:val="Hyperlink"/>
          </w:rPr>
          <w:t>National Disability Agreement</w:t>
        </w:r>
      </w:hyperlink>
      <w:r w:rsidR="00DE13D3" w:rsidRPr="00960D95">
        <w:rPr>
          <w:rStyle w:val="Hyperlink"/>
        </w:rPr>
        <w:t xml:space="preserve"> </w:t>
      </w:r>
    </w:p>
    <w:p w14:paraId="5798591A" w14:textId="77777777" w:rsidR="00DE13D3" w:rsidRPr="00960D95" w:rsidRDefault="002B4CE4" w:rsidP="00DE13D3">
      <w:pPr>
        <w:pStyle w:val="Listbulletlevel1"/>
        <w:numPr>
          <w:ilvl w:val="0"/>
          <w:numId w:val="0"/>
        </w:numPr>
        <w:rPr>
          <w:rStyle w:val="Hyperlink"/>
        </w:rPr>
      </w:pPr>
      <w:hyperlink r:id="rId25" w:history="1">
        <w:r w:rsidR="00DE13D3" w:rsidRPr="00960D95">
          <w:rPr>
            <w:rStyle w:val="Hyperlink"/>
          </w:rPr>
          <w:t>National Disability Insurance Scheme</w:t>
        </w:r>
      </w:hyperlink>
    </w:p>
    <w:p w14:paraId="0A9F0FB8" w14:textId="30C4A075" w:rsidR="00DE13D3" w:rsidRPr="00960D95" w:rsidRDefault="002B4CE4" w:rsidP="00DE13D3">
      <w:pPr>
        <w:pStyle w:val="Listbulletlevel1"/>
        <w:numPr>
          <w:ilvl w:val="0"/>
          <w:numId w:val="0"/>
        </w:numPr>
        <w:rPr>
          <w:rStyle w:val="Hyperlink"/>
        </w:rPr>
      </w:pPr>
      <w:hyperlink r:id="rId26" w:history="1">
        <w:r w:rsidR="00DE13D3" w:rsidRPr="00960D95">
          <w:rPr>
            <w:rStyle w:val="Hyperlink"/>
          </w:rPr>
          <w:t>National Disability Strategy 2010</w:t>
        </w:r>
        <w:r w:rsidR="00170E01">
          <w:rPr>
            <w:rStyle w:val="Hyperlink"/>
          </w:rPr>
          <w:t>–</w:t>
        </w:r>
        <w:r w:rsidR="00DE13D3" w:rsidRPr="00960D95">
          <w:rPr>
            <w:rStyle w:val="Hyperlink"/>
          </w:rPr>
          <w:t>2020</w:t>
        </w:r>
      </w:hyperlink>
    </w:p>
    <w:p w14:paraId="206F1B17" w14:textId="132AAE15" w:rsidR="00BB412C" w:rsidRPr="00F64BF4" w:rsidRDefault="002B4CE4" w:rsidP="00DE13D3">
      <w:pPr>
        <w:pStyle w:val="Body-Text"/>
      </w:pPr>
      <w:hyperlink r:id="rId27" w:history="1">
        <w:r w:rsidR="00DE13D3" w:rsidRPr="00960D95">
          <w:rPr>
            <w:rStyle w:val="Hyperlink"/>
          </w:rPr>
          <w:t>National Standards for Disability Services in Australia</w:t>
        </w:r>
      </w:hyperlink>
      <w:r w:rsidR="00BB412C" w:rsidRPr="00F64BF4">
        <w:t xml:space="preserve"> </w:t>
      </w:r>
    </w:p>
    <w:p w14:paraId="24E9CFDB" w14:textId="77777777" w:rsidR="004C7FAC" w:rsidRDefault="00BB412C" w:rsidP="00763113">
      <w:pPr>
        <w:pStyle w:val="Heading33"/>
      </w:pPr>
      <w:bookmarkStart w:id="11" w:name="_Toc31884633"/>
      <w:r w:rsidRPr="00F64BF4">
        <w:t>South Australia</w:t>
      </w:r>
      <w:bookmarkEnd w:id="11"/>
    </w:p>
    <w:p w14:paraId="3735FA9D" w14:textId="3B546697" w:rsidR="00BB412C" w:rsidRPr="004C7FAC" w:rsidRDefault="002B4CE4" w:rsidP="00E1601C">
      <w:pPr>
        <w:pStyle w:val="Listbulletlevel1"/>
        <w:numPr>
          <w:ilvl w:val="0"/>
          <w:numId w:val="0"/>
        </w:numPr>
      </w:pPr>
      <w:hyperlink r:id="rId28" w:history="1">
        <w:r w:rsidR="004C7FAC" w:rsidRPr="004C7FAC">
          <w:rPr>
            <w:rStyle w:val="Hyperlink"/>
          </w:rPr>
          <w:t>Better Together: principles of engagement</w:t>
        </w:r>
      </w:hyperlink>
    </w:p>
    <w:p w14:paraId="066A7423" w14:textId="77777777" w:rsidR="00DE13D3" w:rsidRPr="00E1601C" w:rsidRDefault="002B4CE4" w:rsidP="00DE13D3">
      <w:pPr>
        <w:pStyle w:val="Listbulletlevel1"/>
        <w:numPr>
          <w:ilvl w:val="0"/>
          <w:numId w:val="0"/>
        </w:numPr>
        <w:rPr>
          <w:rStyle w:val="Hyperlink"/>
          <w:b/>
          <w:i/>
        </w:rPr>
      </w:pPr>
      <w:hyperlink r:id="rId29" w:history="1">
        <w:r w:rsidR="00DE13D3" w:rsidRPr="00E1601C">
          <w:rPr>
            <w:rStyle w:val="Hyperlink"/>
            <w:i/>
          </w:rPr>
          <w:t>Carers Recognition Act 2005</w:t>
        </w:r>
      </w:hyperlink>
      <w:r w:rsidR="00DE13D3" w:rsidRPr="00E1601C">
        <w:rPr>
          <w:rStyle w:val="Hyperlink"/>
          <w:i/>
        </w:rPr>
        <w:t xml:space="preserve"> </w:t>
      </w:r>
    </w:p>
    <w:p w14:paraId="3CF619DD" w14:textId="6CBA4AB6" w:rsidR="00DE13D3" w:rsidRDefault="002B4CE4" w:rsidP="00DE13D3">
      <w:pPr>
        <w:pStyle w:val="Listbulletlevel1"/>
        <w:numPr>
          <w:ilvl w:val="0"/>
          <w:numId w:val="0"/>
        </w:numPr>
        <w:rPr>
          <w:rStyle w:val="Hyperlink"/>
        </w:rPr>
      </w:pPr>
      <w:hyperlink r:id="rId30" w:history="1">
        <w:r w:rsidR="005B32EB" w:rsidRPr="00AA6BF4">
          <w:rPr>
            <w:rStyle w:val="Hyperlink"/>
          </w:rPr>
          <w:t>Disability Inclusion Act 2018 (SA)</w:t>
        </w:r>
      </w:hyperlink>
    </w:p>
    <w:p w14:paraId="41D10F85" w14:textId="0C4D2E45" w:rsidR="00A71DD0" w:rsidRPr="00AA6BF4" w:rsidRDefault="002B4CE4" w:rsidP="00DE13D3">
      <w:pPr>
        <w:pStyle w:val="Listbulletlevel1"/>
        <w:numPr>
          <w:ilvl w:val="0"/>
          <w:numId w:val="0"/>
        </w:numPr>
      </w:pPr>
      <w:hyperlink r:id="rId31" w:history="1">
        <w:r w:rsidR="00A71DD0" w:rsidRPr="00A71DD0">
          <w:rPr>
            <w:rStyle w:val="Hyperlink"/>
          </w:rPr>
          <w:t>Disability Inclusion Planning—a Guide for Local Government</w:t>
        </w:r>
      </w:hyperlink>
    </w:p>
    <w:p w14:paraId="46D0EEE2" w14:textId="6ED11827" w:rsidR="00AA6BF4" w:rsidRDefault="002B4CE4" w:rsidP="00DE13D3">
      <w:pPr>
        <w:pStyle w:val="Listbulletlevel1"/>
        <w:numPr>
          <w:ilvl w:val="0"/>
          <w:numId w:val="0"/>
        </w:numPr>
      </w:pPr>
      <w:hyperlink r:id="rId32" w:history="1">
        <w:r w:rsidR="00AA6BF4" w:rsidRPr="00AA6BF4">
          <w:rPr>
            <w:rStyle w:val="Hyperlink"/>
          </w:rPr>
          <w:t>Disability Inclusion Regulations 2019 (SA)</w:t>
        </w:r>
      </w:hyperlink>
    </w:p>
    <w:p w14:paraId="6D7416D2" w14:textId="7AA40B90" w:rsidR="004825BD" w:rsidRDefault="002B4CE4" w:rsidP="00DE13D3">
      <w:pPr>
        <w:pStyle w:val="Listbulletlevel1"/>
        <w:numPr>
          <w:ilvl w:val="0"/>
          <w:numId w:val="0"/>
        </w:numPr>
        <w:rPr>
          <w:rStyle w:val="Hyperlink"/>
        </w:rPr>
      </w:pPr>
      <w:hyperlink r:id="rId33" w:history="1">
        <w:r w:rsidR="004825BD">
          <w:rPr>
            <w:rStyle w:val="Hyperlink"/>
          </w:rPr>
          <w:t>Disability Inclusion (Transitional Arrangements) Regulations 2018 (SA)</w:t>
        </w:r>
      </w:hyperlink>
    </w:p>
    <w:p w14:paraId="484B0123" w14:textId="77777777" w:rsidR="00DE13D3" w:rsidRPr="00960D95" w:rsidRDefault="002B4CE4" w:rsidP="00DE13D3">
      <w:pPr>
        <w:pStyle w:val="Listbulletlevel1"/>
        <w:numPr>
          <w:ilvl w:val="0"/>
          <w:numId w:val="0"/>
        </w:numPr>
        <w:rPr>
          <w:rStyle w:val="Hyperlink"/>
        </w:rPr>
      </w:pPr>
      <w:hyperlink r:id="rId34" w:history="1">
        <w:r w:rsidR="00DE13D3" w:rsidRPr="00E1601C">
          <w:rPr>
            <w:rStyle w:val="Hyperlink"/>
            <w:i/>
          </w:rPr>
          <w:t>Equal Opportunity Act 1984</w:t>
        </w:r>
      </w:hyperlink>
      <w:r w:rsidR="00DE13D3" w:rsidRPr="00960D95">
        <w:rPr>
          <w:rStyle w:val="Hyperlink"/>
        </w:rPr>
        <w:t xml:space="preserve"> </w:t>
      </w:r>
    </w:p>
    <w:p w14:paraId="00776AFE" w14:textId="09EBFE48" w:rsidR="00DE13D3" w:rsidRPr="00AA4431" w:rsidRDefault="002B4CE4" w:rsidP="00DE13D3">
      <w:pPr>
        <w:pStyle w:val="Listbulletlevel1"/>
        <w:numPr>
          <w:ilvl w:val="0"/>
          <w:numId w:val="0"/>
        </w:numPr>
      </w:pPr>
      <w:hyperlink r:id="rId35" w:history="1">
        <w:r w:rsidR="00DE13D3" w:rsidRPr="00A961A1">
          <w:rPr>
            <w:rStyle w:val="Hyperlink"/>
          </w:rPr>
          <w:t>Inclusive SA: State Disability Inclusion Plan 2019</w:t>
        </w:r>
        <w:r w:rsidR="00763113" w:rsidRPr="00A961A1">
          <w:rPr>
            <w:rStyle w:val="Hyperlink"/>
          </w:rPr>
          <w:t>–</w:t>
        </w:r>
        <w:r w:rsidR="00DE13D3" w:rsidRPr="00A961A1">
          <w:rPr>
            <w:rStyle w:val="Hyperlink"/>
          </w:rPr>
          <w:t>2023</w:t>
        </w:r>
      </w:hyperlink>
    </w:p>
    <w:p w14:paraId="00504C7F" w14:textId="190C264E" w:rsidR="00DE13D3" w:rsidRPr="003D0890" w:rsidRDefault="002B4CE4" w:rsidP="00DE13D3">
      <w:pPr>
        <w:pStyle w:val="Body-Text"/>
      </w:pPr>
      <w:hyperlink r:id="rId36" w:history="1">
        <w:r w:rsidR="00DE13D3" w:rsidRPr="00A961A1">
          <w:rPr>
            <w:rStyle w:val="Hyperlink"/>
          </w:rPr>
          <w:t>Planning Development and Infrastructure Act 2016</w:t>
        </w:r>
      </w:hyperlink>
    </w:p>
    <w:p w14:paraId="23935CC9" w14:textId="4E4CF809" w:rsidR="00DE13D3" w:rsidRPr="003D0890" w:rsidRDefault="002B4CE4" w:rsidP="00DE13D3">
      <w:pPr>
        <w:pStyle w:val="Listbulletlevel1"/>
        <w:numPr>
          <w:ilvl w:val="0"/>
          <w:numId w:val="0"/>
        </w:numPr>
        <w:ind w:left="2160" w:hanging="2160"/>
      </w:pPr>
      <w:hyperlink r:id="rId37" w:history="1">
        <w:r w:rsidR="00DE13D3" w:rsidRPr="00960D95">
          <w:rPr>
            <w:rStyle w:val="Hyperlink"/>
          </w:rPr>
          <w:t>The 30</w:t>
        </w:r>
        <w:r w:rsidR="00170E01">
          <w:rPr>
            <w:rStyle w:val="Hyperlink"/>
          </w:rPr>
          <w:t>-</w:t>
        </w:r>
        <w:r w:rsidR="00DE13D3" w:rsidRPr="00960D95">
          <w:rPr>
            <w:rStyle w:val="Hyperlink"/>
          </w:rPr>
          <w:t>Year Plan for Greater Adelaide</w:t>
        </w:r>
      </w:hyperlink>
    </w:p>
    <w:p w14:paraId="0AC7F908" w14:textId="0E33C6E4" w:rsidR="00A71DD0" w:rsidRPr="00E1601C" w:rsidRDefault="002B4CE4" w:rsidP="00E1601C">
      <w:pPr>
        <w:pStyle w:val="Listbulletlevel1"/>
        <w:numPr>
          <w:ilvl w:val="0"/>
          <w:numId w:val="0"/>
        </w:numPr>
        <w:rPr>
          <w:color w:val="0000FF" w:themeColor="hyperlink"/>
          <w:u w:val="single"/>
        </w:rPr>
      </w:pPr>
      <w:hyperlink r:id="rId38" w:history="1">
        <w:r w:rsidR="005B32EB">
          <w:rPr>
            <w:rStyle w:val="Hyperlink"/>
          </w:rPr>
          <w:t>Volunteering Strategy for South Australia 2014–2020 (PDF 530 KB)</w:t>
        </w:r>
      </w:hyperlink>
    </w:p>
    <w:sectPr w:rsidR="00A71DD0" w:rsidRPr="00E1601C" w:rsidSect="00E1601C">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0A91A" w14:textId="77777777" w:rsidR="002B4CE4" w:rsidRDefault="002B4CE4" w:rsidP="00D16C4A">
      <w:pPr>
        <w:spacing w:after="0"/>
      </w:pPr>
      <w:r>
        <w:separator/>
      </w:r>
    </w:p>
  </w:endnote>
  <w:endnote w:type="continuationSeparator" w:id="0">
    <w:p w14:paraId="72207F2B" w14:textId="77777777" w:rsidR="002B4CE4" w:rsidRDefault="002B4CE4" w:rsidP="00D16C4A">
      <w:pPr>
        <w:spacing w:after="0"/>
      </w:pPr>
      <w:r>
        <w:continuationSeparator/>
      </w:r>
    </w:p>
  </w:endnote>
  <w:endnote w:type="continuationNotice" w:id="1">
    <w:p w14:paraId="2D85BD32" w14:textId="77777777" w:rsidR="002B4CE4" w:rsidRDefault="002B4C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DD75" w14:textId="3199A205" w:rsidR="00B444F0" w:rsidRPr="001E4C77" w:rsidRDefault="00B444F0" w:rsidP="00D16C4A">
    <w:pPr>
      <w:pStyle w:val="Footer"/>
      <w:pBdr>
        <w:top w:val="single" w:sz="4" w:space="1" w:color="D9D9D9" w:themeColor="background1" w:themeShade="D9"/>
      </w:pBdr>
      <w:rPr>
        <w:rFonts w:ascii="Arial" w:hAnsi="Arial" w:cs="Arial"/>
        <w:color w:val="7F7F7F" w:themeColor="background1" w:themeShade="7F"/>
        <w:spacing w:val="60"/>
      </w:rPr>
    </w:pPr>
    <w:r w:rsidRPr="001E4C77">
      <w:rPr>
        <w:rFonts w:ascii="Arial" w:hAnsi="Arial" w:cs="Arial"/>
        <w:color w:val="7F7F7F" w:themeColor="background1" w:themeShade="7F"/>
        <w:spacing w:val="60"/>
      </w:rPr>
      <w:t>Page</w:t>
    </w:r>
    <w:r w:rsidRPr="001E4C77">
      <w:rPr>
        <w:rFonts w:ascii="Arial" w:hAnsi="Arial" w:cs="Arial"/>
      </w:rPr>
      <w:t xml:space="preserve"> </w:t>
    </w:r>
    <w:r w:rsidRPr="001E4C77">
      <w:rPr>
        <w:rFonts w:ascii="Arial" w:hAnsi="Arial" w:cs="Arial"/>
        <w:b/>
        <w:bCs/>
      </w:rPr>
      <w:t>|</w:t>
    </w:r>
    <w:r w:rsidRPr="001E4C77">
      <w:rPr>
        <w:rFonts w:ascii="Arial" w:hAnsi="Arial" w:cs="Arial"/>
      </w:rPr>
      <w:t xml:space="preserve"> </w:t>
    </w:r>
    <w:sdt>
      <w:sdtPr>
        <w:rPr>
          <w:rFonts w:ascii="Arial" w:hAnsi="Arial" w:cs="Arial"/>
        </w:rPr>
        <w:id w:val="-2143962012"/>
        <w:docPartObj>
          <w:docPartGallery w:val="Page Numbers (Bottom of Page)"/>
          <w:docPartUnique/>
        </w:docPartObj>
      </w:sdtPr>
      <w:sdtEndPr>
        <w:rPr>
          <w:color w:val="7F7F7F" w:themeColor="background1" w:themeShade="7F"/>
          <w:spacing w:val="60"/>
        </w:rPr>
      </w:sdtEndPr>
      <w:sdtContent>
        <w:r w:rsidRPr="001E4C77">
          <w:rPr>
            <w:rFonts w:ascii="Arial" w:hAnsi="Arial" w:cs="Arial"/>
            <w:b/>
            <w:bCs/>
          </w:rPr>
          <w:fldChar w:fldCharType="begin"/>
        </w:r>
        <w:r w:rsidRPr="001E4C77">
          <w:rPr>
            <w:rFonts w:ascii="Arial" w:hAnsi="Arial" w:cs="Arial"/>
            <w:b/>
            <w:bCs/>
          </w:rPr>
          <w:instrText xml:space="preserve"> PAGE   \* MERGEFORMAT </w:instrText>
        </w:r>
        <w:r w:rsidRPr="001E4C77">
          <w:rPr>
            <w:rFonts w:ascii="Arial" w:hAnsi="Arial" w:cs="Arial"/>
            <w:b/>
            <w:bCs/>
          </w:rPr>
          <w:fldChar w:fldCharType="separate"/>
        </w:r>
        <w:r w:rsidRPr="001E4C77">
          <w:rPr>
            <w:rFonts w:ascii="Arial" w:hAnsi="Arial" w:cs="Arial"/>
            <w:b/>
            <w:bCs/>
          </w:rPr>
          <w:t>15</w:t>
        </w:r>
        <w:r w:rsidRPr="001E4C77">
          <w:rPr>
            <w:rFonts w:ascii="Arial" w:hAnsi="Arial" w:cs="Arial"/>
            <w:b/>
            <w:bCs/>
            <w:noProof/>
          </w:rPr>
          <w:fldChar w:fldCharType="end"/>
        </w:r>
        <w:r w:rsidRPr="001E4C77">
          <w:rPr>
            <w:rFonts w:ascii="Arial" w:hAnsi="Arial" w:cs="Arial"/>
            <w:b/>
            <w:bCs/>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6338" w14:textId="77777777" w:rsidR="00E1601C" w:rsidRDefault="00E16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BA17" w14:textId="77777777" w:rsidR="00B444F0" w:rsidRPr="001E4C77" w:rsidRDefault="00B444F0" w:rsidP="001E4C77">
    <w:pPr>
      <w:pStyle w:val="Footer"/>
      <w:pBdr>
        <w:top w:val="single" w:sz="4" w:space="1" w:color="D9D9D9" w:themeColor="background1" w:themeShade="D9"/>
      </w:pBdr>
      <w:jc w:val="right"/>
      <w:rPr>
        <w:rFonts w:ascii="Arial" w:hAnsi="Arial" w:cs="Arial"/>
        <w:b/>
        <w:bCs/>
      </w:rPr>
    </w:pPr>
    <w:r w:rsidRPr="001E4C77">
      <w:rPr>
        <w:rFonts w:ascii="Arial" w:hAnsi="Arial" w:cs="Arial"/>
        <w:color w:val="7F7F7F" w:themeColor="background1" w:themeShade="7F"/>
        <w:spacing w:val="60"/>
      </w:rPr>
      <w:t>Page</w:t>
    </w:r>
    <w:r w:rsidRPr="001E4C77">
      <w:rPr>
        <w:rFonts w:ascii="Arial" w:hAnsi="Arial" w:cs="Arial"/>
        <w:b/>
        <w:bCs/>
      </w:rPr>
      <w:t>|</w:t>
    </w:r>
    <w:r w:rsidRPr="001E4C77">
      <w:rPr>
        <w:rFonts w:ascii="Arial" w:hAnsi="Arial" w:cs="Arial"/>
      </w:rPr>
      <w:t xml:space="preserve"> </w:t>
    </w:r>
    <w:sdt>
      <w:sdtPr>
        <w:rPr>
          <w:rFonts w:ascii="Arial" w:hAnsi="Arial" w:cs="Arial"/>
        </w:rPr>
        <w:id w:val="-889033572"/>
        <w:docPartObj>
          <w:docPartGallery w:val="Page Numbers (Bottom of Page)"/>
          <w:docPartUnique/>
        </w:docPartObj>
      </w:sdtPr>
      <w:sdtEndPr>
        <w:rPr>
          <w:color w:val="7F7F7F" w:themeColor="background1" w:themeShade="7F"/>
          <w:spacing w:val="60"/>
        </w:rPr>
      </w:sdtEndPr>
      <w:sdtContent>
        <w:r w:rsidRPr="001E4C77">
          <w:rPr>
            <w:rFonts w:ascii="Arial" w:hAnsi="Arial" w:cs="Arial"/>
          </w:rPr>
          <w:fldChar w:fldCharType="begin"/>
        </w:r>
        <w:r w:rsidRPr="001E4C77">
          <w:rPr>
            <w:rFonts w:ascii="Arial" w:hAnsi="Arial" w:cs="Arial"/>
          </w:rPr>
          <w:instrText xml:space="preserve"> PAGE   \* MERGEFORMAT </w:instrText>
        </w:r>
        <w:r w:rsidRPr="001E4C77">
          <w:rPr>
            <w:rFonts w:ascii="Arial" w:hAnsi="Arial" w:cs="Arial"/>
          </w:rPr>
          <w:fldChar w:fldCharType="separate"/>
        </w:r>
        <w:r w:rsidRPr="001E4C77">
          <w:rPr>
            <w:rFonts w:ascii="Arial" w:hAnsi="Arial" w:cs="Arial"/>
            <w:b/>
            <w:bCs/>
            <w:noProof/>
          </w:rPr>
          <w:t>2</w:t>
        </w:r>
        <w:r w:rsidRPr="001E4C77">
          <w:rPr>
            <w:rFonts w:ascii="Arial" w:hAnsi="Arial" w:cs="Arial"/>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ED3D" w14:textId="77777777" w:rsidR="002B4CE4" w:rsidRDefault="002B4CE4" w:rsidP="00D16C4A">
      <w:pPr>
        <w:spacing w:after="0"/>
      </w:pPr>
      <w:r>
        <w:separator/>
      </w:r>
    </w:p>
  </w:footnote>
  <w:footnote w:type="continuationSeparator" w:id="0">
    <w:p w14:paraId="3CD4BEC7" w14:textId="77777777" w:rsidR="002B4CE4" w:rsidRDefault="002B4CE4" w:rsidP="00D16C4A">
      <w:pPr>
        <w:spacing w:after="0"/>
      </w:pPr>
      <w:r>
        <w:continuationSeparator/>
      </w:r>
    </w:p>
  </w:footnote>
  <w:footnote w:type="continuationNotice" w:id="1">
    <w:p w14:paraId="6491D236" w14:textId="77777777" w:rsidR="002B4CE4" w:rsidRDefault="002B4CE4">
      <w:pPr>
        <w:spacing w:after="0"/>
      </w:pPr>
    </w:p>
  </w:footnote>
  <w:footnote w:id="2">
    <w:p w14:paraId="37528DA1" w14:textId="2219E576" w:rsidR="00C26855" w:rsidRPr="001E528E" w:rsidRDefault="00C26855" w:rsidP="00C26855">
      <w:pPr>
        <w:spacing w:after="0"/>
        <w:jc w:val="both"/>
        <w:rPr>
          <w:rFonts w:ascii="Arial" w:hAnsi="Arial" w:cs="Arial"/>
          <w:szCs w:val="24"/>
        </w:rPr>
      </w:pPr>
      <w:r>
        <w:rPr>
          <w:rStyle w:val="FootnoteReference"/>
        </w:rPr>
        <w:footnoteRef/>
      </w:r>
      <w:r>
        <w:t xml:space="preserve"> </w:t>
      </w:r>
      <w:r w:rsidRPr="001E528E">
        <w:rPr>
          <w:rFonts w:ascii="Arial" w:hAnsi="Arial" w:cs="Arial"/>
          <w:szCs w:val="24"/>
        </w:rPr>
        <w:t xml:space="preserve">State authorities should note that the Act and associated Regulations </w:t>
      </w:r>
      <w:r>
        <w:rPr>
          <w:rFonts w:ascii="Arial" w:hAnsi="Arial" w:cs="Arial"/>
          <w:szCs w:val="24"/>
        </w:rPr>
        <w:t>do not</w:t>
      </w:r>
      <w:r w:rsidRPr="001E528E">
        <w:rPr>
          <w:rFonts w:ascii="Arial" w:hAnsi="Arial" w:cs="Arial"/>
          <w:szCs w:val="24"/>
        </w:rPr>
        <w:t xml:space="preserve"> require </w:t>
      </w:r>
      <w:r w:rsidRPr="00763113">
        <w:rPr>
          <w:rFonts w:ascii="Arial" w:hAnsi="Arial" w:cs="Arial"/>
          <w:i/>
          <w:iCs/>
          <w:szCs w:val="24"/>
        </w:rPr>
        <w:t xml:space="preserve">immediate </w:t>
      </w:r>
      <w:r w:rsidRPr="001E528E">
        <w:rPr>
          <w:rFonts w:ascii="Arial" w:hAnsi="Arial" w:cs="Arial"/>
          <w:szCs w:val="24"/>
        </w:rPr>
        <w:t>expenditure on capital works to make built environs accessible. State authorities are required to:</w:t>
      </w:r>
    </w:p>
    <w:p w14:paraId="4FA1DE1C" w14:textId="77777777" w:rsidR="00AD392E" w:rsidRDefault="00C26855" w:rsidP="00AD392E">
      <w:pPr>
        <w:pStyle w:val="Bullet-Disc"/>
      </w:pPr>
      <w:r w:rsidRPr="001E528E">
        <w:t xml:space="preserve">Apply principles of universal design in all new builds; </w:t>
      </w:r>
      <w:r>
        <w:t>and</w:t>
      </w:r>
    </w:p>
    <w:p w14:paraId="2D9D406A" w14:textId="69D5F195" w:rsidR="00C26855" w:rsidRDefault="00C26855" w:rsidP="00AD392E">
      <w:pPr>
        <w:pStyle w:val="Bullet-Disc"/>
      </w:pPr>
      <w:r w:rsidRPr="001E528E">
        <w:t xml:space="preserve">Where </w:t>
      </w:r>
      <w:r w:rsidRPr="00AD392E">
        <w:rPr>
          <w:i/>
          <w:iCs/>
        </w:rPr>
        <w:t>possible and affordable</w:t>
      </w:r>
      <w:r w:rsidRPr="001E528E">
        <w:t xml:space="preserve"> improve existing accessibility using universal design 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60E8" w14:textId="77777777" w:rsidR="00E1601C" w:rsidRDefault="00E1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7306D"/>
    <w:multiLevelType w:val="hybridMultilevel"/>
    <w:tmpl w:val="2668C562"/>
    <w:lvl w:ilvl="0" w:tplc="B94666FC">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430EE"/>
    <w:multiLevelType w:val="hybridMultilevel"/>
    <w:tmpl w:val="9F2AB8E8"/>
    <w:lvl w:ilvl="0" w:tplc="25267D90">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8B5FF2"/>
    <w:multiLevelType w:val="hybridMultilevel"/>
    <w:tmpl w:val="F438B634"/>
    <w:lvl w:ilvl="0" w:tplc="610200B8">
      <w:start w:val="1"/>
      <w:numFmt w:val="bullet"/>
      <w:pStyle w:val="Listbulletlevel2"/>
      <w:lvlText w:val=""/>
      <w:lvlJc w:val="left"/>
      <w:pPr>
        <w:tabs>
          <w:tab w:val="num" w:pos="568"/>
        </w:tabs>
        <w:ind w:left="568" w:hanging="284"/>
      </w:pPr>
      <w:rPr>
        <w:rFonts w:ascii="Symbol" w:hAnsi="Symbol" w:hint="default"/>
      </w:rPr>
    </w:lvl>
    <w:lvl w:ilvl="1" w:tplc="992E2568">
      <w:start w:val="1"/>
      <w:numFmt w:val="bullet"/>
      <w:lvlText w:val="-"/>
      <w:lvlJc w:val="left"/>
      <w:pPr>
        <w:ind w:left="2160" w:hanging="360"/>
      </w:pPr>
      <w:rPr>
        <w:rFonts w:ascii="Arial" w:hAnsi="Arial" w:hint="default"/>
        <w:b/>
        <w:i w:val="0"/>
        <w:color w:val="36393B"/>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1C526B2"/>
    <w:multiLevelType w:val="hybridMultilevel"/>
    <w:tmpl w:val="85929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DB1421"/>
    <w:multiLevelType w:val="hybridMultilevel"/>
    <w:tmpl w:val="41C2073C"/>
    <w:lvl w:ilvl="0" w:tplc="EA821698">
      <w:start w:val="1"/>
      <w:numFmt w:val="bullet"/>
      <w:pStyle w:val="Bullet-Disc"/>
      <w:lvlText w:val=""/>
      <w:lvlJc w:val="left"/>
      <w:pPr>
        <w:ind w:left="720" w:hanging="360"/>
      </w:pPr>
      <w:rPr>
        <w:rFonts w:ascii="Symbol" w:hAnsi="Symbol" w:hint="default"/>
      </w:rPr>
    </w:lvl>
    <w:lvl w:ilvl="1" w:tplc="F3EC240E">
      <w:start w:val="1"/>
      <w:numFmt w:val="bullet"/>
      <w:pStyle w:val="Bullet-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2C"/>
    <w:rsid w:val="000063F9"/>
    <w:rsid w:val="00013CD7"/>
    <w:rsid w:val="00042D9B"/>
    <w:rsid w:val="0006745E"/>
    <w:rsid w:val="00067A11"/>
    <w:rsid w:val="00074875"/>
    <w:rsid w:val="000A59D9"/>
    <w:rsid w:val="000C016C"/>
    <w:rsid w:val="000D4362"/>
    <w:rsid w:val="00103EDD"/>
    <w:rsid w:val="00155E84"/>
    <w:rsid w:val="00164C98"/>
    <w:rsid w:val="001656FF"/>
    <w:rsid w:val="00170985"/>
    <w:rsid w:val="00170E01"/>
    <w:rsid w:val="001732CD"/>
    <w:rsid w:val="001E4C77"/>
    <w:rsid w:val="002639E1"/>
    <w:rsid w:val="00263B89"/>
    <w:rsid w:val="00280304"/>
    <w:rsid w:val="002B4CE4"/>
    <w:rsid w:val="002F20C6"/>
    <w:rsid w:val="002F4A37"/>
    <w:rsid w:val="002F6EB5"/>
    <w:rsid w:val="003978E5"/>
    <w:rsid w:val="003A7108"/>
    <w:rsid w:val="003C1525"/>
    <w:rsid w:val="0040770A"/>
    <w:rsid w:val="0046435B"/>
    <w:rsid w:val="00476325"/>
    <w:rsid w:val="004825BD"/>
    <w:rsid w:val="004B1CD2"/>
    <w:rsid w:val="004C76F5"/>
    <w:rsid w:val="004C7FAC"/>
    <w:rsid w:val="004F3C56"/>
    <w:rsid w:val="00553C1E"/>
    <w:rsid w:val="00577BEF"/>
    <w:rsid w:val="00586F9A"/>
    <w:rsid w:val="005A20AE"/>
    <w:rsid w:val="005B32EB"/>
    <w:rsid w:val="005D770D"/>
    <w:rsid w:val="005F130D"/>
    <w:rsid w:val="005F7F90"/>
    <w:rsid w:val="006214C1"/>
    <w:rsid w:val="006336D7"/>
    <w:rsid w:val="006523BF"/>
    <w:rsid w:val="00671458"/>
    <w:rsid w:val="006A2760"/>
    <w:rsid w:val="006D13FB"/>
    <w:rsid w:val="007063A3"/>
    <w:rsid w:val="0071067D"/>
    <w:rsid w:val="007358B1"/>
    <w:rsid w:val="00761612"/>
    <w:rsid w:val="00763113"/>
    <w:rsid w:val="007A63AB"/>
    <w:rsid w:val="007D4B26"/>
    <w:rsid w:val="00802E94"/>
    <w:rsid w:val="008156ED"/>
    <w:rsid w:val="008713D2"/>
    <w:rsid w:val="00876B94"/>
    <w:rsid w:val="00886E4F"/>
    <w:rsid w:val="00895BF0"/>
    <w:rsid w:val="008D1B24"/>
    <w:rsid w:val="009161D7"/>
    <w:rsid w:val="00951099"/>
    <w:rsid w:val="00957513"/>
    <w:rsid w:val="009650BB"/>
    <w:rsid w:val="00965132"/>
    <w:rsid w:val="00966047"/>
    <w:rsid w:val="009D0D8C"/>
    <w:rsid w:val="00A271FD"/>
    <w:rsid w:val="00A338FB"/>
    <w:rsid w:val="00A400C6"/>
    <w:rsid w:val="00A40165"/>
    <w:rsid w:val="00A64F48"/>
    <w:rsid w:val="00A71DD0"/>
    <w:rsid w:val="00A735D4"/>
    <w:rsid w:val="00A961A1"/>
    <w:rsid w:val="00AA6BF4"/>
    <w:rsid w:val="00AB0551"/>
    <w:rsid w:val="00AB14F6"/>
    <w:rsid w:val="00AB211F"/>
    <w:rsid w:val="00AC3C65"/>
    <w:rsid w:val="00AD392E"/>
    <w:rsid w:val="00AE79BA"/>
    <w:rsid w:val="00B355EB"/>
    <w:rsid w:val="00B42C30"/>
    <w:rsid w:val="00B444F0"/>
    <w:rsid w:val="00B6237D"/>
    <w:rsid w:val="00B95100"/>
    <w:rsid w:val="00BB412C"/>
    <w:rsid w:val="00C176F7"/>
    <w:rsid w:val="00C26855"/>
    <w:rsid w:val="00C44FCF"/>
    <w:rsid w:val="00C464DA"/>
    <w:rsid w:val="00C674D8"/>
    <w:rsid w:val="00C70945"/>
    <w:rsid w:val="00CC6519"/>
    <w:rsid w:val="00CD085C"/>
    <w:rsid w:val="00CD62FA"/>
    <w:rsid w:val="00CF2A8D"/>
    <w:rsid w:val="00D03B72"/>
    <w:rsid w:val="00D0733F"/>
    <w:rsid w:val="00D13AED"/>
    <w:rsid w:val="00D16C4A"/>
    <w:rsid w:val="00D50929"/>
    <w:rsid w:val="00D76241"/>
    <w:rsid w:val="00DA5CE8"/>
    <w:rsid w:val="00DC6E1C"/>
    <w:rsid w:val="00DE13D3"/>
    <w:rsid w:val="00DF5CB0"/>
    <w:rsid w:val="00E1601C"/>
    <w:rsid w:val="00E22EA6"/>
    <w:rsid w:val="00E259E8"/>
    <w:rsid w:val="00E34A71"/>
    <w:rsid w:val="00E57B1C"/>
    <w:rsid w:val="00E66E80"/>
    <w:rsid w:val="00E9016A"/>
    <w:rsid w:val="00EB7848"/>
    <w:rsid w:val="00ED786A"/>
    <w:rsid w:val="00F10C1F"/>
    <w:rsid w:val="00F166C9"/>
    <w:rsid w:val="00F22FCA"/>
    <w:rsid w:val="00F2598E"/>
    <w:rsid w:val="00F25C4E"/>
    <w:rsid w:val="00F27076"/>
    <w:rsid w:val="00F305D0"/>
    <w:rsid w:val="00F33EB7"/>
    <w:rsid w:val="00F45892"/>
    <w:rsid w:val="00F51B52"/>
    <w:rsid w:val="00F64BF4"/>
    <w:rsid w:val="00F673E5"/>
    <w:rsid w:val="00F708D0"/>
    <w:rsid w:val="00F9700D"/>
    <w:rsid w:val="00FB4781"/>
    <w:rsid w:val="00FF136C"/>
    <w:rsid w:val="00FF7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61EB9"/>
  <w15:chartTrackingRefBased/>
  <w15:docId w15:val="{91B2E944-CCC6-4A1F-AA9D-96E013D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AB"/>
    <w:rPr>
      <w:rFonts w:asciiTheme="minorHAnsi" w:hAnsiTheme="minorHAnsi"/>
      <w:sz w:val="24"/>
    </w:rPr>
  </w:style>
  <w:style w:type="paragraph" w:styleId="Heading1">
    <w:name w:val="heading 1"/>
    <w:basedOn w:val="Normal"/>
    <w:next w:val="Normal"/>
    <w:link w:val="Heading1Char"/>
    <w:uiPriority w:val="9"/>
    <w:qFormat/>
    <w:rsid w:val="006D13FB"/>
    <w:pPr>
      <w:keepNext/>
      <w:keepLines/>
      <w:spacing w:after="240"/>
      <w:outlineLvl w:val="0"/>
    </w:pPr>
    <w:rPr>
      <w:rFonts w:ascii="Arial" w:eastAsiaTheme="majorEastAsia" w:hAnsi="Arial" w:cs="Arial"/>
      <w:b/>
      <w:bCs/>
      <w:color w:val="000000" w:themeColor="text1"/>
      <w:sz w:val="48"/>
      <w:szCs w:val="48"/>
    </w:rPr>
  </w:style>
  <w:style w:type="paragraph" w:styleId="Heading2">
    <w:name w:val="heading 2"/>
    <w:basedOn w:val="Normal"/>
    <w:next w:val="Normal"/>
    <w:link w:val="Heading2Char"/>
    <w:uiPriority w:val="9"/>
    <w:unhideWhenUsed/>
    <w:qFormat/>
    <w:rsid w:val="00763113"/>
    <w:pPr>
      <w:keepNext/>
      <w:keepLines/>
      <w:numPr>
        <w:numId w:val="5"/>
      </w:numPr>
      <w:tabs>
        <w:tab w:val="left" w:pos="426"/>
      </w:tabs>
      <w:spacing w:before="40" w:after="200"/>
      <w:ind w:left="426" w:hanging="426"/>
      <w:outlineLvl w:val="1"/>
    </w:pPr>
    <w:rPr>
      <w:rFonts w:ascii="Arial" w:eastAsiaTheme="majorEastAsia" w:hAnsi="Arial" w:cs="Arial"/>
      <w:b/>
      <w:bCs/>
      <w:color w:val="000000" w:themeColor="text1"/>
      <w:sz w:val="32"/>
      <w:szCs w:val="32"/>
    </w:rPr>
  </w:style>
  <w:style w:type="paragraph" w:styleId="Heading3">
    <w:name w:val="heading 3"/>
    <w:basedOn w:val="Normal"/>
    <w:next w:val="Normal"/>
    <w:link w:val="Heading3Char"/>
    <w:uiPriority w:val="9"/>
    <w:unhideWhenUsed/>
    <w:qFormat/>
    <w:rsid w:val="00763113"/>
    <w:pPr>
      <w:keepNext/>
      <w:keepLines/>
      <w:tabs>
        <w:tab w:val="left" w:pos="490"/>
      </w:tabs>
      <w:spacing w:before="360" w:after="160"/>
      <w:ind w:left="490" w:hanging="490"/>
      <w:outlineLvl w:val="2"/>
    </w:pPr>
    <w:rPr>
      <w:rFonts w:ascii="Arial" w:eastAsiaTheme="majorEastAsia" w:hAnsi="Arial" w:cs="Arial"/>
      <w:b/>
      <w:bCs/>
      <w:color w:val="000000" w:themeColor="text1"/>
      <w:sz w:val="28"/>
      <w:szCs w:val="28"/>
    </w:rPr>
  </w:style>
  <w:style w:type="paragraph" w:styleId="Heading4">
    <w:name w:val="heading 4"/>
    <w:basedOn w:val="Normal"/>
    <w:next w:val="Normal"/>
    <w:link w:val="Heading4Char"/>
    <w:uiPriority w:val="9"/>
    <w:unhideWhenUsed/>
    <w:qFormat/>
    <w:rsid w:val="00E66E80"/>
    <w:pPr>
      <w:keepNext/>
      <w:keepLines/>
      <w:spacing w:before="240" w:after="100"/>
      <w:outlineLvl w:val="3"/>
    </w:pPr>
    <w:rPr>
      <w:rFonts w:ascii="Arial" w:eastAsiaTheme="majorEastAsia" w:hAnsi="Arial" w:cs="Arial"/>
      <w:b/>
      <w:bCs/>
      <w:i/>
      <w:iCs/>
      <w:color w:val="404040" w:themeColor="text1" w:themeTint="BF"/>
      <w:sz w:val="26"/>
      <w:szCs w:val="26"/>
    </w:rPr>
  </w:style>
  <w:style w:type="paragraph" w:styleId="Heading5">
    <w:name w:val="heading 5"/>
    <w:basedOn w:val="Normal"/>
    <w:next w:val="Normal"/>
    <w:link w:val="Heading5Char"/>
    <w:uiPriority w:val="9"/>
    <w:unhideWhenUsed/>
    <w:qFormat/>
    <w:rsid w:val="00CC6519"/>
    <w:pPr>
      <w:keepNext/>
      <w:keepLines/>
      <w:spacing w:before="160" w:after="40"/>
      <w:outlineLvl w:val="4"/>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3FB"/>
    <w:rPr>
      <w:rFonts w:ascii="Arial" w:eastAsiaTheme="majorEastAsia" w:hAnsi="Arial" w:cs="Arial"/>
      <w:b/>
      <w:bCs/>
      <w:color w:val="000000" w:themeColor="text1"/>
      <w:sz w:val="48"/>
      <w:szCs w:val="48"/>
    </w:rPr>
  </w:style>
  <w:style w:type="paragraph" w:styleId="Subtitle">
    <w:name w:val="Subtitle"/>
    <w:basedOn w:val="Normal"/>
    <w:next w:val="Normal"/>
    <w:link w:val="SubtitleChar"/>
    <w:uiPriority w:val="11"/>
    <w:qFormat/>
    <w:rsid w:val="006D13FB"/>
    <w:pPr>
      <w:numPr>
        <w:ilvl w:val="1"/>
      </w:numPr>
      <w:spacing w:after="160"/>
    </w:pPr>
    <w:rPr>
      <w:rFonts w:ascii="Arial" w:eastAsiaTheme="minorEastAsia" w:hAnsi="Arial" w:cs="Arial"/>
      <w:b/>
      <w:bCs/>
      <w:color w:val="000000" w:themeColor="text1"/>
      <w:spacing w:val="15"/>
      <w:sz w:val="32"/>
      <w:szCs w:val="32"/>
    </w:rPr>
  </w:style>
  <w:style w:type="character" w:customStyle="1" w:styleId="SubtitleChar">
    <w:name w:val="Subtitle Char"/>
    <w:basedOn w:val="DefaultParagraphFont"/>
    <w:link w:val="Subtitle"/>
    <w:uiPriority w:val="11"/>
    <w:rsid w:val="006D13FB"/>
    <w:rPr>
      <w:rFonts w:ascii="Arial" w:eastAsiaTheme="minorEastAsia" w:hAnsi="Arial" w:cs="Arial"/>
      <w:b/>
      <w:bCs/>
      <w:color w:val="000000" w:themeColor="text1"/>
      <w:spacing w:val="15"/>
      <w:sz w:val="32"/>
      <w:szCs w:val="32"/>
    </w:rPr>
  </w:style>
  <w:style w:type="paragraph" w:customStyle="1" w:styleId="Body-Text">
    <w:name w:val="Body-Text"/>
    <w:basedOn w:val="Normal"/>
    <w:link w:val="Body-TextChar"/>
    <w:qFormat/>
    <w:rsid w:val="00F64BF4"/>
    <w:rPr>
      <w:rFonts w:ascii="Arial" w:hAnsi="Arial" w:cs="Arial"/>
      <w:szCs w:val="24"/>
    </w:rPr>
  </w:style>
  <w:style w:type="character" w:customStyle="1" w:styleId="Heading2Char">
    <w:name w:val="Heading 2 Char"/>
    <w:basedOn w:val="DefaultParagraphFont"/>
    <w:link w:val="Heading2"/>
    <w:uiPriority w:val="9"/>
    <w:rsid w:val="00763113"/>
    <w:rPr>
      <w:rFonts w:ascii="Arial" w:eastAsiaTheme="majorEastAsia" w:hAnsi="Arial" w:cs="Arial"/>
      <w:b/>
      <w:bCs/>
      <w:color w:val="000000" w:themeColor="text1"/>
      <w:sz w:val="32"/>
      <w:szCs w:val="32"/>
    </w:rPr>
  </w:style>
  <w:style w:type="character" w:customStyle="1" w:styleId="Body-TextChar">
    <w:name w:val="Body-Text Char"/>
    <w:basedOn w:val="DefaultParagraphFont"/>
    <w:link w:val="Body-Text"/>
    <w:rsid w:val="00F64BF4"/>
    <w:rPr>
      <w:rFonts w:ascii="Arial" w:hAnsi="Arial" w:cs="Arial"/>
      <w:sz w:val="24"/>
      <w:szCs w:val="24"/>
    </w:rPr>
  </w:style>
  <w:style w:type="character" w:customStyle="1" w:styleId="Heading3Char">
    <w:name w:val="Heading 3 Char"/>
    <w:basedOn w:val="DefaultParagraphFont"/>
    <w:link w:val="Heading3"/>
    <w:uiPriority w:val="9"/>
    <w:rsid w:val="00763113"/>
    <w:rPr>
      <w:rFonts w:ascii="Arial" w:eastAsiaTheme="majorEastAsia" w:hAnsi="Arial" w:cs="Arial"/>
      <w:b/>
      <w:bCs/>
      <w:color w:val="000000" w:themeColor="text1"/>
      <w:sz w:val="28"/>
      <w:szCs w:val="28"/>
    </w:rPr>
  </w:style>
  <w:style w:type="paragraph" w:styleId="TOCHeading">
    <w:name w:val="TOC Heading"/>
    <w:basedOn w:val="Heading1"/>
    <w:next w:val="Normal"/>
    <w:uiPriority w:val="39"/>
    <w:unhideWhenUsed/>
    <w:qFormat/>
    <w:rsid w:val="00586F9A"/>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86F9A"/>
    <w:pPr>
      <w:spacing w:after="100"/>
    </w:pPr>
  </w:style>
  <w:style w:type="paragraph" w:styleId="TOC2">
    <w:name w:val="toc 2"/>
    <w:basedOn w:val="Normal"/>
    <w:next w:val="Normal"/>
    <w:autoRedefine/>
    <w:uiPriority w:val="39"/>
    <w:unhideWhenUsed/>
    <w:rsid w:val="00586F9A"/>
    <w:pPr>
      <w:spacing w:after="100"/>
      <w:ind w:left="240"/>
    </w:pPr>
  </w:style>
  <w:style w:type="paragraph" w:styleId="TOC3">
    <w:name w:val="toc 3"/>
    <w:basedOn w:val="Normal"/>
    <w:next w:val="Normal"/>
    <w:autoRedefine/>
    <w:uiPriority w:val="39"/>
    <w:unhideWhenUsed/>
    <w:rsid w:val="00586F9A"/>
    <w:pPr>
      <w:spacing w:after="100"/>
      <w:ind w:left="480"/>
    </w:pPr>
  </w:style>
  <w:style w:type="character" w:styleId="Hyperlink">
    <w:name w:val="Hyperlink"/>
    <w:basedOn w:val="DefaultParagraphFont"/>
    <w:uiPriority w:val="99"/>
    <w:unhideWhenUsed/>
    <w:qFormat/>
    <w:rsid w:val="00586F9A"/>
    <w:rPr>
      <w:color w:val="0000FF" w:themeColor="hyperlink"/>
      <w:u w:val="single"/>
    </w:rPr>
  </w:style>
  <w:style w:type="paragraph" w:customStyle="1" w:styleId="Bullet-Numbers">
    <w:name w:val="Bullet-Numbers"/>
    <w:basedOn w:val="Body-Text"/>
    <w:link w:val="Bullet-NumbersChar"/>
    <w:qFormat/>
    <w:rsid w:val="00DA5CE8"/>
    <w:pPr>
      <w:numPr>
        <w:numId w:val="1"/>
      </w:numPr>
      <w:ind w:left="567" w:hanging="567"/>
    </w:pPr>
  </w:style>
  <w:style w:type="character" w:customStyle="1" w:styleId="Heading5Char">
    <w:name w:val="Heading 5 Char"/>
    <w:basedOn w:val="DefaultParagraphFont"/>
    <w:link w:val="Heading5"/>
    <w:uiPriority w:val="9"/>
    <w:rsid w:val="00CC6519"/>
    <w:rPr>
      <w:rFonts w:ascii="Arial" w:eastAsiaTheme="majorEastAsia" w:hAnsi="Arial" w:cs="Arial"/>
      <w:sz w:val="24"/>
    </w:rPr>
  </w:style>
  <w:style w:type="character" w:customStyle="1" w:styleId="Bullet-NumbersChar">
    <w:name w:val="Bullet-Numbers Char"/>
    <w:basedOn w:val="Body-TextChar"/>
    <w:link w:val="Bullet-Numbers"/>
    <w:rsid w:val="00DA5CE8"/>
    <w:rPr>
      <w:rFonts w:ascii="Arial" w:hAnsi="Arial" w:cs="Arial"/>
      <w:sz w:val="24"/>
      <w:szCs w:val="24"/>
    </w:rPr>
  </w:style>
  <w:style w:type="paragraph" w:customStyle="1" w:styleId="Heading3Glossary">
    <w:name w:val="Heading 3 Glossary"/>
    <w:basedOn w:val="Heading3"/>
    <w:qFormat/>
    <w:rsid w:val="00170E01"/>
    <w:pPr>
      <w:tabs>
        <w:tab w:val="clear" w:pos="490"/>
      </w:tabs>
      <w:spacing w:before="180" w:after="60"/>
      <w:ind w:left="0" w:firstLine="0"/>
    </w:pPr>
    <w:rPr>
      <w:rFonts w:eastAsia="Times New Roman" w:cs="Times New Roman"/>
      <w:szCs w:val="20"/>
    </w:rPr>
  </w:style>
  <w:style w:type="character" w:styleId="UnresolvedMention">
    <w:name w:val="Unresolved Mention"/>
    <w:basedOn w:val="DefaultParagraphFont"/>
    <w:uiPriority w:val="99"/>
    <w:semiHidden/>
    <w:unhideWhenUsed/>
    <w:rsid w:val="00E259E8"/>
    <w:rPr>
      <w:color w:val="605E5C"/>
      <w:shd w:val="clear" w:color="auto" w:fill="E1DFDD"/>
    </w:rPr>
  </w:style>
  <w:style w:type="character" w:styleId="FollowedHyperlink">
    <w:name w:val="FollowedHyperlink"/>
    <w:basedOn w:val="DefaultParagraphFont"/>
    <w:uiPriority w:val="99"/>
    <w:semiHidden/>
    <w:unhideWhenUsed/>
    <w:rsid w:val="00067A11"/>
    <w:rPr>
      <w:color w:val="800080" w:themeColor="followedHyperlink"/>
      <w:u w:val="single"/>
    </w:rPr>
  </w:style>
  <w:style w:type="paragraph" w:customStyle="1" w:styleId="Table-Header">
    <w:name w:val="Table-Header"/>
    <w:basedOn w:val="Normal"/>
    <w:qFormat/>
    <w:rsid w:val="00E66E80"/>
    <w:pPr>
      <w:spacing w:after="0" w:line="276" w:lineRule="auto"/>
    </w:pPr>
    <w:rPr>
      <w:rFonts w:ascii="Arial" w:hAnsi="Arial" w:cs="Arial"/>
      <w:b/>
      <w:szCs w:val="24"/>
    </w:rPr>
  </w:style>
  <w:style w:type="paragraph" w:customStyle="1" w:styleId="Table-Text">
    <w:name w:val="Table-Text"/>
    <w:basedOn w:val="Normal"/>
    <w:qFormat/>
    <w:rsid w:val="00E66E80"/>
    <w:pPr>
      <w:spacing w:before="40" w:after="40"/>
    </w:pPr>
    <w:rPr>
      <w:rFonts w:ascii="Arial" w:hAnsi="Arial" w:cs="Arial"/>
      <w:szCs w:val="24"/>
    </w:rPr>
  </w:style>
  <w:style w:type="paragraph" w:customStyle="1" w:styleId="Bullet-Disc">
    <w:name w:val="Bullet-Disc"/>
    <w:basedOn w:val="Body-Text"/>
    <w:link w:val="Bullet-DiscChar"/>
    <w:qFormat/>
    <w:rsid w:val="00AD392E"/>
    <w:pPr>
      <w:numPr>
        <w:numId w:val="3"/>
      </w:numPr>
      <w:tabs>
        <w:tab w:val="left" w:pos="426"/>
      </w:tabs>
      <w:ind w:left="426" w:hanging="426"/>
    </w:pPr>
  </w:style>
  <w:style w:type="paragraph" w:customStyle="1" w:styleId="Bullet-Indent">
    <w:name w:val="Bullet-Indent"/>
    <w:basedOn w:val="Bullet-Disc"/>
    <w:link w:val="Bullet-IndentChar"/>
    <w:qFormat/>
    <w:rsid w:val="00280304"/>
    <w:pPr>
      <w:numPr>
        <w:ilvl w:val="1"/>
      </w:numPr>
      <w:tabs>
        <w:tab w:val="clear" w:pos="426"/>
        <w:tab w:val="left" w:pos="851"/>
      </w:tabs>
      <w:ind w:left="851" w:hanging="425"/>
    </w:pPr>
  </w:style>
  <w:style w:type="character" w:customStyle="1" w:styleId="Bullet-DiscChar">
    <w:name w:val="Bullet-Disc Char"/>
    <w:basedOn w:val="Body-TextChar"/>
    <w:link w:val="Bullet-Disc"/>
    <w:rsid w:val="00AD392E"/>
    <w:rPr>
      <w:rFonts w:ascii="Arial" w:hAnsi="Arial" w:cs="Arial"/>
      <w:sz w:val="24"/>
      <w:szCs w:val="24"/>
    </w:rPr>
  </w:style>
  <w:style w:type="character" w:customStyle="1" w:styleId="Heading4Char">
    <w:name w:val="Heading 4 Char"/>
    <w:basedOn w:val="DefaultParagraphFont"/>
    <w:link w:val="Heading4"/>
    <w:uiPriority w:val="9"/>
    <w:rsid w:val="00E66E80"/>
    <w:rPr>
      <w:rFonts w:ascii="Arial" w:eastAsiaTheme="majorEastAsia" w:hAnsi="Arial" w:cs="Arial"/>
      <w:b/>
      <w:bCs/>
      <w:i/>
      <w:iCs/>
      <w:color w:val="404040" w:themeColor="text1" w:themeTint="BF"/>
      <w:sz w:val="26"/>
      <w:szCs w:val="26"/>
    </w:rPr>
  </w:style>
  <w:style w:type="character" w:customStyle="1" w:styleId="Bullet-IndentChar">
    <w:name w:val="Bullet-Indent Char"/>
    <w:basedOn w:val="Bullet-DiscChar"/>
    <w:link w:val="Bullet-Indent"/>
    <w:rsid w:val="00280304"/>
    <w:rPr>
      <w:rFonts w:ascii="Arial" w:hAnsi="Arial" w:cs="Arial"/>
      <w:sz w:val="24"/>
      <w:szCs w:val="24"/>
    </w:rPr>
  </w:style>
  <w:style w:type="paragraph" w:customStyle="1" w:styleId="BodyText1">
    <w:name w:val="Body Text1"/>
    <w:basedOn w:val="Normal"/>
    <w:link w:val="BodytextChar"/>
    <w:qFormat/>
    <w:rsid w:val="001732CD"/>
    <w:pPr>
      <w:spacing w:after="200" w:line="276" w:lineRule="auto"/>
      <w:ind w:left="397"/>
    </w:pPr>
    <w:rPr>
      <w:rFonts w:ascii="Arial" w:hAnsi="Arial" w:cs="Arial"/>
      <w:szCs w:val="24"/>
    </w:rPr>
  </w:style>
  <w:style w:type="character" w:customStyle="1" w:styleId="BodytextChar">
    <w:name w:val="Body text Char"/>
    <w:link w:val="BodyText1"/>
    <w:rsid w:val="001732CD"/>
    <w:rPr>
      <w:rFonts w:ascii="Arial" w:hAnsi="Arial" w:cs="Arial"/>
      <w:sz w:val="24"/>
      <w:szCs w:val="24"/>
    </w:rPr>
  </w:style>
  <w:style w:type="paragraph" w:styleId="Header">
    <w:name w:val="header"/>
    <w:basedOn w:val="Normal"/>
    <w:link w:val="HeaderChar"/>
    <w:uiPriority w:val="99"/>
    <w:unhideWhenUsed/>
    <w:rsid w:val="00D16C4A"/>
    <w:pPr>
      <w:tabs>
        <w:tab w:val="center" w:pos="4513"/>
        <w:tab w:val="right" w:pos="9026"/>
      </w:tabs>
      <w:spacing w:after="0"/>
    </w:pPr>
  </w:style>
  <w:style w:type="character" w:customStyle="1" w:styleId="HeaderChar">
    <w:name w:val="Header Char"/>
    <w:basedOn w:val="DefaultParagraphFont"/>
    <w:link w:val="Header"/>
    <w:uiPriority w:val="99"/>
    <w:rsid w:val="00D16C4A"/>
    <w:rPr>
      <w:rFonts w:asciiTheme="minorHAnsi" w:hAnsiTheme="minorHAnsi"/>
      <w:sz w:val="24"/>
    </w:rPr>
  </w:style>
  <w:style w:type="paragraph" w:styleId="Footer">
    <w:name w:val="footer"/>
    <w:basedOn w:val="Normal"/>
    <w:link w:val="FooterChar"/>
    <w:uiPriority w:val="99"/>
    <w:unhideWhenUsed/>
    <w:rsid w:val="00D16C4A"/>
    <w:pPr>
      <w:tabs>
        <w:tab w:val="center" w:pos="4513"/>
        <w:tab w:val="right" w:pos="9026"/>
      </w:tabs>
      <w:spacing w:after="0"/>
    </w:pPr>
  </w:style>
  <w:style w:type="character" w:customStyle="1" w:styleId="FooterChar">
    <w:name w:val="Footer Char"/>
    <w:basedOn w:val="DefaultParagraphFont"/>
    <w:link w:val="Footer"/>
    <w:uiPriority w:val="99"/>
    <w:rsid w:val="00D16C4A"/>
    <w:rPr>
      <w:rFonts w:asciiTheme="minorHAnsi" w:hAnsiTheme="minorHAnsi"/>
      <w:sz w:val="24"/>
    </w:rPr>
  </w:style>
  <w:style w:type="paragraph" w:styleId="BalloonText">
    <w:name w:val="Balloon Text"/>
    <w:basedOn w:val="Normal"/>
    <w:link w:val="BalloonTextChar"/>
    <w:uiPriority w:val="99"/>
    <w:semiHidden/>
    <w:unhideWhenUsed/>
    <w:rsid w:val="006523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BF"/>
    <w:rPr>
      <w:rFonts w:ascii="Segoe UI" w:hAnsi="Segoe UI" w:cs="Segoe UI"/>
      <w:sz w:val="18"/>
      <w:szCs w:val="18"/>
    </w:rPr>
  </w:style>
  <w:style w:type="paragraph" w:customStyle="1" w:styleId="Heading33">
    <w:name w:val="Heading 3.3"/>
    <w:basedOn w:val="Heading3"/>
    <w:link w:val="Heading33Char"/>
    <w:qFormat/>
    <w:rsid w:val="007A63AB"/>
  </w:style>
  <w:style w:type="paragraph" w:customStyle="1" w:styleId="Listbulletlevel1">
    <w:name w:val="List bullet level 1"/>
    <w:basedOn w:val="Normal"/>
    <w:uiPriority w:val="99"/>
    <w:rsid w:val="00C464DA"/>
    <w:pPr>
      <w:numPr>
        <w:ilvl w:val="1"/>
        <w:numId w:val="4"/>
      </w:numPr>
      <w:spacing w:before="120"/>
    </w:pPr>
    <w:rPr>
      <w:rFonts w:ascii="Arial" w:eastAsia="Corbel" w:hAnsi="Arial" w:cs="Arial"/>
      <w:szCs w:val="24"/>
      <w:lang w:val="en-US"/>
    </w:rPr>
  </w:style>
  <w:style w:type="character" w:customStyle="1" w:styleId="Heading33Char">
    <w:name w:val="Heading 3.3 Char"/>
    <w:basedOn w:val="Heading3Char"/>
    <w:link w:val="Heading33"/>
    <w:rsid w:val="007A63AB"/>
    <w:rPr>
      <w:rFonts w:ascii="Arial" w:eastAsiaTheme="majorEastAsia" w:hAnsi="Arial" w:cs="Arial"/>
      <w:b/>
      <w:bCs/>
      <w:color w:val="000000" w:themeColor="text1"/>
      <w:sz w:val="28"/>
      <w:szCs w:val="28"/>
    </w:rPr>
  </w:style>
  <w:style w:type="character" w:styleId="Emphasis">
    <w:name w:val="Emphasis"/>
    <w:uiPriority w:val="99"/>
    <w:qFormat/>
    <w:rsid w:val="00DE13D3"/>
    <w:rPr>
      <w:rFonts w:cs="Times New Roman"/>
      <w:i/>
      <w:iCs/>
    </w:rPr>
  </w:style>
  <w:style w:type="paragraph" w:customStyle="1" w:styleId="Listbulletlevel2">
    <w:name w:val="List bullet level 2"/>
    <w:basedOn w:val="Normal"/>
    <w:uiPriority w:val="99"/>
    <w:rsid w:val="00F2598E"/>
    <w:pPr>
      <w:numPr>
        <w:numId w:val="6"/>
      </w:numPr>
      <w:tabs>
        <w:tab w:val="clear" w:pos="568"/>
        <w:tab w:val="num" w:pos="993"/>
      </w:tabs>
      <w:spacing w:before="120"/>
      <w:ind w:left="567" w:firstLine="0"/>
    </w:pPr>
    <w:rPr>
      <w:rFonts w:ascii="Arial" w:eastAsia="Corbel" w:hAnsi="Arial" w:cs="Arial"/>
      <w:szCs w:val="24"/>
      <w:lang w:val="en-US"/>
    </w:rPr>
  </w:style>
  <w:style w:type="character" w:styleId="CommentReference">
    <w:name w:val="annotation reference"/>
    <w:uiPriority w:val="99"/>
    <w:semiHidden/>
    <w:rsid w:val="00F2598E"/>
    <w:rPr>
      <w:rFonts w:cs="Times New Roman"/>
      <w:sz w:val="16"/>
      <w:szCs w:val="16"/>
    </w:rPr>
  </w:style>
  <w:style w:type="character" w:styleId="FootnoteReference">
    <w:name w:val="footnote reference"/>
    <w:uiPriority w:val="99"/>
    <w:semiHidden/>
    <w:unhideWhenUsed/>
    <w:rsid w:val="00F2598E"/>
    <w:rPr>
      <w:vertAlign w:val="superscript"/>
    </w:rPr>
  </w:style>
  <w:style w:type="paragraph" w:styleId="FootnoteText">
    <w:name w:val="footnote text"/>
    <w:basedOn w:val="Normal"/>
    <w:link w:val="FootnoteTextChar"/>
    <w:uiPriority w:val="99"/>
    <w:semiHidden/>
    <w:unhideWhenUsed/>
    <w:rsid w:val="00C26855"/>
    <w:pPr>
      <w:spacing w:after="0"/>
    </w:pPr>
    <w:rPr>
      <w:sz w:val="20"/>
    </w:rPr>
  </w:style>
  <w:style w:type="character" w:customStyle="1" w:styleId="FootnoteTextChar">
    <w:name w:val="Footnote Text Char"/>
    <w:basedOn w:val="DefaultParagraphFont"/>
    <w:link w:val="FootnoteText"/>
    <w:uiPriority w:val="99"/>
    <w:semiHidden/>
    <w:rsid w:val="00C26855"/>
    <w:rPr>
      <w:rFonts w:asciiTheme="minorHAnsi" w:hAnsiTheme="minorHAnsi"/>
    </w:rPr>
  </w:style>
  <w:style w:type="character" w:customStyle="1" w:styleId="UnresolvedMention1">
    <w:name w:val="Unresolved Mention1"/>
    <w:basedOn w:val="DefaultParagraphFont"/>
    <w:uiPriority w:val="99"/>
    <w:semiHidden/>
    <w:unhideWhenUsed/>
    <w:rsid w:val="00E16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HSDisabilityTalk@sa.gov.au" TargetMode="External"/><Relationship Id="rId18" Type="http://schemas.openxmlformats.org/officeDocument/2006/relationships/hyperlink" Target="http://www.comlaw.gov.au/Details/C2010A00123" TargetMode="External"/><Relationship Id="rId26" Type="http://schemas.openxmlformats.org/officeDocument/2006/relationships/hyperlink" Target="http://www.dss.gov.au/our-responsibilities/disability-and-carers/program-services/government-international/national-disability-strateg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gov.au/Details/F2011C00214" TargetMode="External"/><Relationship Id="rId34" Type="http://schemas.openxmlformats.org/officeDocument/2006/relationships/hyperlink" Target="http://www.legislation.sa.gov.au/LZ/C/A/Equal%20Opportunity%20Act%201984.asp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reaties.un.org/Pages/ViewDetails.aspx?src=TREATY&amp;mtdsg_no=IV-15-a&amp;chapter=4&amp;clang=_en" TargetMode="External"/><Relationship Id="rId25" Type="http://schemas.openxmlformats.org/officeDocument/2006/relationships/hyperlink" Target="http://www.ndis.gov.au/" TargetMode="External"/><Relationship Id="rId33" Type="http://schemas.openxmlformats.org/officeDocument/2006/relationships/hyperlink" Target="https://www.legislation.sa.gov.au/LZ/C/R/DISABILITY%20INCLUSION%20(TRANSITIONAL%20ARRANGEMENTS)%20REGULATIONS%202018.aspx" TargetMode="External"/><Relationship Id="rId38" Type="http://schemas.openxmlformats.org/officeDocument/2006/relationships/hyperlink" Target="http://www.savolunteeringstrategy.org.au/wp-content/uploads/2017/05/VSSA_StrategyDocument_ver1.pdf" TargetMode="Externa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convention-on-the-rights-of-persons-with-disabilities-2.html" TargetMode="External"/><Relationship Id="rId20" Type="http://schemas.openxmlformats.org/officeDocument/2006/relationships/hyperlink" Target="https://www.legislation.gov.au/Details/F2011C00213" TargetMode="External"/><Relationship Id="rId29" Type="http://schemas.openxmlformats.org/officeDocument/2006/relationships/hyperlink" Target="http://www.legislation.sa.gov.au/LZ/C/A/CARERS%20RECOGNITION%20ACT%20200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ss.gov.au/our-responsibilities/disability-and-carers/program-services/government-international/national-disability-agreement" TargetMode="External"/><Relationship Id="rId32" Type="http://schemas.openxmlformats.org/officeDocument/2006/relationships/hyperlink" Target="https://www.legislation.sa.gov.au/LZ/C/R/DISABILITY%20INCLUSION%20REGULATIONS%202019.aspx" TargetMode="External"/><Relationship Id="rId37" Type="http://schemas.openxmlformats.org/officeDocument/2006/relationships/hyperlink" Target="https://livingadelaide.sa.gov.a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rerstas.org/wp-content/uploads/2017/06/2011-National-Carer-Strategy.pdf" TargetMode="External"/><Relationship Id="rId28" Type="http://schemas.openxmlformats.org/officeDocument/2006/relationships/hyperlink" Target="https://bettertogether.sa.gov.au/principles-of-engagement" TargetMode="External"/><Relationship Id="rId36" Type="http://schemas.openxmlformats.org/officeDocument/2006/relationships/hyperlink" Target="http://www8.austlii.edu.au/cgi-bin/viewdb/au/legis/sa/consol_act/pdaia2016415/" TargetMode="External"/><Relationship Id="rId10" Type="http://schemas.openxmlformats.org/officeDocument/2006/relationships/footer" Target="footer1.xml"/><Relationship Id="rId19" Type="http://schemas.openxmlformats.org/officeDocument/2006/relationships/hyperlink" Target="http://www.austlii.edu.au/au/legis/cth/consol_act/dda1992264/" TargetMode="External"/><Relationship Id="rId31" Type="http://schemas.openxmlformats.org/officeDocument/2006/relationships/hyperlink" Target="https://alga.asn.au/disability-inclusion-planning-guide-for-local-govern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clusive.sa.gov.au" TargetMode="External"/><Relationship Id="rId22" Type="http://schemas.openxmlformats.org/officeDocument/2006/relationships/hyperlink" Target="https://www.legislation.gov.au/Details/F2005L00767" TargetMode="External"/><Relationship Id="rId27" Type="http://schemas.openxmlformats.org/officeDocument/2006/relationships/hyperlink" Target="https://www.dss.gov.au/our-responsibilities/disability-and-carers/standards-and-quality-assurance/national-standards-for-disability-services" TargetMode="External"/><Relationship Id="rId30" Type="http://schemas.openxmlformats.org/officeDocument/2006/relationships/hyperlink" Target="https://www.legislation.sa.gov.au/LZ/C/A/DISABILITY%20INCLUSION%20ACT%202018.aspx" TargetMode="External"/><Relationship Id="rId35" Type="http://schemas.openxmlformats.org/officeDocument/2006/relationships/hyperlink" Target="https://inclusiv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AADC-F52E-4C55-805B-838BF954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Disability Access and Inclusion Plan - DAIP</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 - DAIP</dc:title>
  <dc:subject/>
  <dc:creator>Edwards, Stephanie (DHS)</dc:creator>
  <cp:keywords>disability, inclusion, disability access and inclusion plan, guideline, human services, accessibility</cp:keywords>
  <dc:description>These guidelines are designed for State authorities to assist in preparing and developing Disability Access and Inclusion Plans (DAIPs). The guidelines contain contextual information and practical advice to guide State authorities to develop DAIPs relevant to the supports and services they provide.</dc:description>
  <cp:lastModifiedBy>Edwards, Stephanie (DHS)</cp:lastModifiedBy>
  <cp:revision>2</cp:revision>
  <cp:lastPrinted>2020-02-10T02:31:00Z</cp:lastPrinted>
  <dcterms:created xsi:type="dcterms:W3CDTF">2020-09-03T05:22:00Z</dcterms:created>
  <dcterms:modified xsi:type="dcterms:W3CDTF">2020-09-03T05:22:00Z</dcterms:modified>
</cp:coreProperties>
</file>