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2B8D" w14:textId="31DAABB3" w:rsidR="000705E1" w:rsidRPr="00E427A9" w:rsidRDefault="000705E1" w:rsidP="00E427A9">
      <w:pPr>
        <w:pStyle w:val="Heading1"/>
      </w:pPr>
      <w:bookmarkStart w:id="0" w:name="_Toc147318173"/>
      <w:bookmarkStart w:id="1" w:name="_Toc149817440"/>
      <w:bookmarkStart w:id="2" w:name="_Toc74220382"/>
      <w:bookmarkStart w:id="3" w:name="_Toc74220467"/>
      <w:bookmarkStart w:id="4" w:name="_Toc468356239"/>
      <w:r w:rsidRPr="00E427A9">
        <w:t xml:space="preserve">Safe and </w:t>
      </w:r>
      <w:r w:rsidR="00934F64">
        <w:t>w</w:t>
      </w:r>
      <w:r w:rsidRPr="00E427A9">
        <w:t>ell</w:t>
      </w:r>
      <w:bookmarkEnd w:id="0"/>
      <w:bookmarkEnd w:id="1"/>
    </w:p>
    <w:p w14:paraId="4FA2753A" w14:textId="77777777" w:rsidR="000705E1" w:rsidRPr="00E427A9" w:rsidRDefault="000705E1" w:rsidP="00934F64">
      <w:pPr>
        <w:pStyle w:val="Subtitle"/>
        <w:spacing w:before="20" w:after="1900"/>
        <w:rPr>
          <w:sz w:val="36"/>
          <w:szCs w:val="36"/>
        </w:rPr>
      </w:pPr>
      <w:r w:rsidRPr="00E427A9">
        <w:rPr>
          <w:sz w:val="36"/>
          <w:szCs w:val="36"/>
        </w:rPr>
        <w:t>Supporting families, protecting children</w:t>
      </w:r>
    </w:p>
    <w:p w14:paraId="73955861" w14:textId="0A649485" w:rsidR="000705E1" w:rsidRPr="00B64342" w:rsidRDefault="000705E1" w:rsidP="00B64342">
      <w:pPr>
        <w:pStyle w:val="Heading1"/>
        <w:rPr>
          <w:sz w:val="52"/>
          <w:szCs w:val="52"/>
        </w:rPr>
      </w:pPr>
      <w:r w:rsidRPr="00B64342">
        <w:rPr>
          <w:sz w:val="52"/>
          <w:szCs w:val="52"/>
        </w:rPr>
        <w:t>Resilient Families Annual Report</w:t>
      </w:r>
      <w:bookmarkEnd w:id="2"/>
      <w:bookmarkEnd w:id="3"/>
    </w:p>
    <w:p w14:paraId="310587F6" w14:textId="70A26CF9" w:rsidR="000705E1" w:rsidRPr="00E427A9" w:rsidRDefault="000705E1" w:rsidP="00E427A9">
      <w:pPr>
        <w:pStyle w:val="Subtitle"/>
        <w:spacing w:before="500"/>
        <w:contextualSpacing/>
        <w:rPr>
          <w:sz w:val="36"/>
          <w:szCs w:val="36"/>
        </w:rPr>
      </w:pPr>
      <w:r w:rsidRPr="00E427A9">
        <w:rPr>
          <w:sz w:val="36"/>
          <w:szCs w:val="36"/>
        </w:rPr>
        <w:t xml:space="preserve">Reporting </w:t>
      </w:r>
      <w:r w:rsidR="00372C3D" w:rsidRPr="00E427A9">
        <w:rPr>
          <w:sz w:val="36"/>
          <w:szCs w:val="36"/>
        </w:rPr>
        <w:t>P</w:t>
      </w:r>
      <w:r w:rsidR="00372C3D">
        <w:rPr>
          <w:sz w:val="36"/>
          <w:szCs w:val="36"/>
        </w:rPr>
        <w:t>e</w:t>
      </w:r>
      <w:r w:rsidR="00372C3D" w:rsidRPr="00E427A9">
        <w:rPr>
          <w:sz w:val="36"/>
          <w:szCs w:val="36"/>
        </w:rPr>
        <w:t>riod</w:t>
      </w:r>
      <w:r w:rsidRPr="00E427A9">
        <w:rPr>
          <w:sz w:val="36"/>
          <w:szCs w:val="36"/>
        </w:rPr>
        <w:t>: 1 July 2022 to 30 June 2023</w:t>
      </w:r>
    </w:p>
    <w:p w14:paraId="1D98C627" w14:textId="1AB93477" w:rsidR="00A12456" w:rsidRPr="00E427A9" w:rsidRDefault="000705E1" w:rsidP="00E427A9">
      <w:pPr>
        <w:pStyle w:val="Subtitle"/>
        <w:spacing w:before="500"/>
        <w:contextualSpacing/>
        <w:rPr>
          <w:sz w:val="36"/>
          <w:szCs w:val="36"/>
        </w:rPr>
      </w:pPr>
      <w:r w:rsidRPr="00E427A9">
        <w:rPr>
          <w:sz w:val="36"/>
          <w:szCs w:val="36"/>
        </w:rPr>
        <w:t>Date Issued:</w:t>
      </w:r>
      <w:r w:rsidR="003109EA">
        <w:rPr>
          <w:sz w:val="36"/>
          <w:szCs w:val="36"/>
        </w:rPr>
        <w:t xml:space="preserve"> 11 December 2023</w:t>
      </w:r>
    </w:p>
    <w:p w14:paraId="3DD00949" w14:textId="77777777" w:rsidR="00953F90" w:rsidRDefault="00953F90" w:rsidP="00953F90"/>
    <w:p w14:paraId="3426F0C0" w14:textId="77777777" w:rsidR="00491BE2" w:rsidRPr="00953F90" w:rsidRDefault="00491BE2" w:rsidP="00953F90">
      <w:pPr>
        <w:sectPr w:rsidR="00491BE2" w:rsidRPr="00953F90" w:rsidSect="00E677D8">
          <w:headerReference w:type="even" r:id="rId11"/>
          <w:headerReference w:type="default" r:id="rId12"/>
          <w:footerReference w:type="even" r:id="rId13"/>
          <w:footerReference w:type="default" r:id="rId14"/>
          <w:headerReference w:type="first" r:id="rId15"/>
          <w:footerReference w:type="first" r:id="rId16"/>
          <w:pgSz w:w="11907" w:h="16839" w:code="9"/>
          <w:pgMar w:top="1395" w:right="1418" w:bottom="816" w:left="1418" w:header="573" w:footer="924" w:gutter="0"/>
          <w:cols w:space="1032"/>
          <w:titlePg/>
          <w:docGrid w:linePitch="360"/>
        </w:sectPr>
      </w:pPr>
    </w:p>
    <w:p w14:paraId="044D86AE" w14:textId="72213C41" w:rsidR="00E1254D" w:rsidRDefault="00E1254D" w:rsidP="00596F84">
      <w:pPr>
        <w:pStyle w:val="Contents"/>
      </w:pPr>
      <w:r w:rsidRPr="00596F84">
        <w:lastRenderedPageBreak/>
        <w:t>C</w:t>
      </w:r>
      <w:r w:rsidR="002821E8" w:rsidRPr="00596F84">
        <w:t>ontents</w:t>
      </w:r>
    </w:p>
    <w:p w14:paraId="62371CA7" w14:textId="63B7C792" w:rsidR="005D077F" w:rsidRDefault="005D077F" w:rsidP="00A00188">
      <w:pPr>
        <w:pStyle w:val="TOC2"/>
        <w:rPr>
          <w:rFonts w:asciiTheme="minorHAnsi" w:eastAsiaTheme="minorEastAsia" w:hAnsiTheme="minorHAnsi" w:cstheme="minorBidi"/>
          <w:color w:val="auto"/>
          <w:kern w:val="0"/>
          <w:sz w:val="22"/>
          <w:szCs w:val="22"/>
          <w:lang w:val="en-AU" w:eastAsia="en-AU"/>
        </w:rPr>
      </w:pPr>
      <w:r>
        <w:fldChar w:fldCharType="begin"/>
      </w:r>
      <w:r>
        <w:instrText xml:space="preserve"> TOC \o "2-3" \h \z \t "Heading 1,1,TOC Heading,1" </w:instrText>
      </w:r>
      <w:r>
        <w:fldChar w:fldCharType="separate"/>
      </w:r>
      <w:hyperlink w:anchor="_Toc149817441" w:history="1">
        <w:r w:rsidRPr="00434061">
          <w:rPr>
            <w:rStyle w:val="Hyperlink"/>
          </w:rPr>
          <w:t>Foreword</w:t>
        </w:r>
        <w:r>
          <w:rPr>
            <w:webHidden/>
          </w:rPr>
          <w:tab/>
        </w:r>
        <w:r>
          <w:rPr>
            <w:webHidden/>
          </w:rPr>
          <w:fldChar w:fldCharType="begin"/>
        </w:r>
        <w:r>
          <w:rPr>
            <w:webHidden/>
          </w:rPr>
          <w:instrText xml:space="preserve"> PAGEREF _Toc149817441 \h </w:instrText>
        </w:r>
        <w:r>
          <w:rPr>
            <w:webHidden/>
          </w:rPr>
        </w:r>
        <w:r>
          <w:rPr>
            <w:webHidden/>
          </w:rPr>
          <w:fldChar w:fldCharType="separate"/>
        </w:r>
        <w:r w:rsidR="00EF763C">
          <w:rPr>
            <w:webHidden/>
          </w:rPr>
          <w:t>3</w:t>
        </w:r>
        <w:r>
          <w:rPr>
            <w:webHidden/>
          </w:rPr>
          <w:fldChar w:fldCharType="end"/>
        </w:r>
      </w:hyperlink>
    </w:p>
    <w:p w14:paraId="775324EF" w14:textId="66D3F961" w:rsidR="005D077F" w:rsidRDefault="00000000" w:rsidP="00A00188">
      <w:pPr>
        <w:pStyle w:val="TOC2"/>
        <w:rPr>
          <w:rFonts w:asciiTheme="minorHAnsi" w:eastAsiaTheme="minorEastAsia" w:hAnsiTheme="minorHAnsi" w:cstheme="minorBidi"/>
          <w:color w:val="auto"/>
          <w:kern w:val="0"/>
          <w:sz w:val="22"/>
          <w:szCs w:val="22"/>
          <w:lang w:val="en-AU" w:eastAsia="en-AU"/>
        </w:rPr>
      </w:pPr>
      <w:hyperlink w:anchor="_Toc149817442" w:history="1">
        <w:r w:rsidR="005D077F" w:rsidRPr="00434061">
          <w:rPr>
            <w:rStyle w:val="Hyperlink"/>
          </w:rPr>
          <w:t>Program overview</w:t>
        </w:r>
        <w:r w:rsidR="005D077F">
          <w:rPr>
            <w:webHidden/>
          </w:rPr>
          <w:tab/>
        </w:r>
        <w:r w:rsidR="005D077F">
          <w:rPr>
            <w:webHidden/>
          </w:rPr>
          <w:fldChar w:fldCharType="begin"/>
        </w:r>
        <w:r w:rsidR="005D077F">
          <w:rPr>
            <w:webHidden/>
          </w:rPr>
          <w:instrText xml:space="preserve"> PAGEREF _Toc149817442 \h </w:instrText>
        </w:r>
        <w:r w:rsidR="005D077F">
          <w:rPr>
            <w:webHidden/>
          </w:rPr>
        </w:r>
        <w:r w:rsidR="005D077F">
          <w:rPr>
            <w:webHidden/>
          </w:rPr>
          <w:fldChar w:fldCharType="separate"/>
        </w:r>
        <w:r w:rsidR="00EF763C">
          <w:rPr>
            <w:webHidden/>
          </w:rPr>
          <w:t>5</w:t>
        </w:r>
        <w:r w:rsidR="005D077F">
          <w:rPr>
            <w:webHidden/>
          </w:rPr>
          <w:fldChar w:fldCharType="end"/>
        </w:r>
      </w:hyperlink>
    </w:p>
    <w:p w14:paraId="4BBCCD20" w14:textId="6A998D9C"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43" w:history="1">
        <w:r w:rsidR="005D077F" w:rsidRPr="00434061">
          <w:rPr>
            <w:rStyle w:val="Hyperlink"/>
            <w:noProof/>
          </w:rPr>
          <w:t>Resilient Families Program</w:t>
        </w:r>
        <w:r w:rsidR="005D077F">
          <w:rPr>
            <w:noProof/>
            <w:webHidden/>
          </w:rPr>
          <w:tab/>
        </w:r>
        <w:r w:rsidR="005D077F">
          <w:rPr>
            <w:noProof/>
            <w:webHidden/>
          </w:rPr>
          <w:fldChar w:fldCharType="begin"/>
        </w:r>
        <w:r w:rsidR="005D077F">
          <w:rPr>
            <w:noProof/>
            <w:webHidden/>
          </w:rPr>
          <w:instrText xml:space="preserve"> PAGEREF _Toc149817443 \h </w:instrText>
        </w:r>
        <w:r w:rsidR="005D077F">
          <w:rPr>
            <w:noProof/>
            <w:webHidden/>
          </w:rPr>
        </w:r>
        <w:r w:rsidR="005D077F">
          <w:rPr>
            <w:noProof/>
            <w:webHidden/>
          </w:rPr>
          <w:fldChar w:fldCharType="separate"/>
        </w:r>
        <w:r w:rsidR="00EF763C">
          <w:rPr>
            <w:noProof/>
            <w:webHidden/>
          </w:rPr>
          <w:t>5</w:t>
        </w:r>
        <w:r w:rsidR="005D077F">
          <w:rPr>
            <w:noProof/>
            <w:webHidden/>
          </w:rPr>
          <w:fldChar w:fldCharType="end"/>
        </w:r>
      </w:hyperlink>
    </w:p>
    <w:p w14:paraId="25161879" w14:textId="743AA30E"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44" w:history="1">
        <w:r w:rsidR="005D077F" w:rsidRPr="00434061">
          <w:rPr>
            <w:rStyle w:val="Hyperlink"/>
            <w:noProof/>
          </w:rPr>
          <w:t>Social impact investment</w:t>
        </w:r>
        <w:r w:rsidR="005D077F">
          <w:rPr>
            <w:noProof/>
            <w:webHidden/>
          </w:rPr>
          <w:tab/>
        </w:r>
        <w:r w:rsidR="005D077F">
          <w:rPr>
            <w:noProof/>
            <w:webHidden/>
          </w:rPr>
          <w:fldChar w:fldCharType="begin"/>
        </w:r>
        <w:r w:rsidR="005D077F">
          <w:rPr>
            <w:noProof/>
            <w:webHidden/>
          </w:rPr>
          <w:instrText xml:space="preserve"> PAGEREF _Toc149817444 \h </w:instrText>
        </w:r>
        <w:r w:rsidR="005D077F">
          <w:rPr>
            <w:noProof/>
            <w:webHidden/>
          </w:rPr>
        </w:r>
        <w:r w:rsidR="005D077F">
          <w:rPr>
            <w:noProof/>
            <w:webHidden/>
          </w:rPr>
          <w:fldChar w:fldCharType="separate"/>
        </w:r>
        <w:r w:rsidR="00EF763C">
          <w:rPr>
            <w:noProof/>
            <w:webHidden/>
          </w:rPr>
          <w:t>6</w:t>
        </w:r>
        <w:r w:rsidR="005D077F">
          <w:rPr>
            <w:noProof/>
            <w:webHidden/>
          </w:rPr>
          <w:fldChar w:fldCharType="end"/>
        </w:r>
      </w:hyperlink>
    </w:p>
    <w:p w14:paraId="5BB5973F" w14:textId="76779A5D"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45" w:history="1">
        <w:r w:rsidR="005D077F" w:rsidRPr="00434061">
          <w:rPr>
            <w:rStyle w:val="Hyperlink"/>
            <w:noProof/>
          </w:rPr>
          <w:t>Service model</w:t>
        </w:r>
        <w:r w:rsidR="005D077F">
          <w:rPr>
            <w:noProof/>
            <w:webHidden/>
          </w:rPr>
          <w:tab/>
        </w:r>
        <w:r w:rsidR="005D077F">
          <w:rPr>
            <w:noProof/>
            <w:webHidden/>
          </w:rPr>
          <w:fldChar w:fldCharType="begin"/>
        </w:r>
        <w:r w:rsidR="005D077F">
          <w:rPr>
            <w:noProof/>
            <w:webHidden/>
          </w:rPr>
          <w:instrText xml:space="preserve"> PAGEREF _Toc149817445 \h </w:instrText>
        </w:r>
        <w:r w:rsidR="005D077F">
          <w:rPr>
            <w:noProof/>
            <w:webHidden/>
          </w:rPr>
        </w:r>
        <w:r w:rsidR="005D077F">
          <w:rPr>
            <w:noProof/>
            <w:webHidden/>
          </w:rPr>
          <w:fldChar w:fldCharType="separate"/>
        </w:r>
        <w:r w:rsidR="00EF763C">
          <w:rPr>
            <w:noProof/>
            <w:webHidden/>
          </w:rPr>
          <w:t>7</w:t>
        </w:r>
        <w:r w:rsidR="005D077F">
          <w:rPr>
            <w:noProof/>
            <w:webHidden/>
          </w:rPr>
          <w:fldChar w:fldCharType="end"/>
        </w:r>
      </w:hyperlink>
    </w:p>
    <w:p w14:paraId="60783C0D" w14:textId="21394C2F"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46" w:history="1">
        <w:r w:rsidR="005D077F" w:rsidRPr="00434061">
          <w:rPr>
            <w:rStyle w:val="Hyperlink"/>
            <w:noProof/>
          </w:rPr>
          <w:t>Child and family support system context</w:t>
        </w:r>
        <w:r w:rsidR="005D077F">
          <w:rPr>
            <w:noProof/>
            <w:webHidden/>
          </w:rPr>
          <w:tab/>
        </w:r>
        <w:r w:rsidR="005D077F">
          <w:rPr>
            <w:noProof/>
            <w:webHidden/>
          </w:rPr>
          <w:fldChar w:fldCharType="begin"/>
        </w:r>
        <w:r w:rsidR="005D077F">
          <w:rPr>
            <w:noProof/>
            <w:webHidden/>
          </w:rPr>
          <w:instrText xml:space="preserve"> PAGEREF _Toc149817446 \h </w:instrText>
        </w:r>
        <w:r w:rsidR="005D077F">
          <w:rPr>
            <w:noProof/>
            <w:webHidden/>
          </w:rPr>
        </w:r>
        <w:r w:rsidR="005D077F">
          <w:rPr>
            <w:noProof/>
            <w:webHidden/>
          </w:rPr>
          <w:fldChar w:fldCharType="separate"/>
        </w:r>
        <w:r w:rsidR="00EF763C">
          <w:rPr>
            <w:noProof/>
            <w:webHidden/>
          </w:rPr>
          <w:t>8</w:t>
        </w:r>
        <w:r w:rsidR="005D077F">
          <w:rPr>
            <w:noProof/>
            <w:webHidden/>
          </w:rPr>
          <w:fldChar w:fldCharType="end"/>
        </w:r>
      </w:hyperlink>
    </w:p>
    <w:p w14:paraId="7FA4BBB3" w14:textId="5624F3D7"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47" w:history="1">
        <w:r w:rsidR="005D077F" w:rsidRPr="00434061">
          <w:rPr>
            <w:rStyle w:val="Hyperlink"/>
            <w:noProof/>
          </w:rPr>
          <w:t>Program development and learnings</w:t>
        </w:r>
        <w:r w:rsidR="005D077F">
          <w:rPr>
            <w:noProof/>
            <w:webHidden/>
          </w:rPr>
          <w:tab/>
        </w:r>
        <w:r w:rsidR="005D077F">
          <w:rPr>
            <w:noProof/>
            <w:webHidden/>
          </w:rPr>
          <w:fldChar w:fldCharType="begin"/>
        </w:r>
        <w:r w:rsidR="005D077F">
          <w:rPr>
            <w:noProof/>
            <w:webHidden/>
          </w:rPr>
          <w:instrText xml:space="preserve"> PAGEREF _Toc149817447 \h </w:instrText>
        </w:r>
        <w:r w:rsidR="005D077F">
          <w:rPr>
            <w:noProof/>
            <w:webHidden/>
          </w:rPr>
        </w:r>
        <w:r w:rsidR="005D077F">
          <w:rPr>
            <w:noProof/>
            <w:webHidden/>
          </w:rPr>
          <w:fldChar w:fldCharType="separate"/>
        </w:r>
        <w:r w:rsidR="00EF763C">
          <w:rPr>
            <w:noProof/>
            <w:webHidden/>
          </w:rPr>
          <w:t>10</w:t>
        </w:r>
        <w:r w:rsidR="005D077F">
          <w:rPr>
            <w:noProof/>
            <w:webHidden/>
          </w:rPr>
          <w:fldChar w:fldCharType="end"/>
        </w:r>
      </w:hyperlink>
    </w:p>
    <w:p w14:paraId="6DC1C154" w14:textId="7DDE437A"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48" w:history="1">
        <w:r w:rsidR="005D077F" w:rsidRPr="00434061">
          <w:rPr>
            <w:rStyle w:val="Hyperlink"/>
            <w:noProof/>
          </w:rPr>
          <w:t>Workforce</w:t>
        </w:r>
        <w:r w:rsidR="005D077F">
          <w:rPr>
            <w:noProof/>
            <w:webHidden/>
          </w:rPr>
          <w:tab/>
        </w:r>
        <w:r w:rsidR="005D077F">
          <w:rPr>
            <w:noProof/>
            <w:webHidden/>
          </w:rPr>
          <w:fldChar w:fldCharType="begin"/>
        </w:r>
        <w:r w:rsidR="005D077F">
          <w:rPr>
            <w:noProof/>
            <w:webHidden/>
          </w:rPr>
          <w:instrText xml:space="preserve"> PAGEREF _Toc149817448 \h </w:instrText>
        </w:r>
        <w:r w:rsidR="005D077F">
          <w:rPr>
            <w:noProof/>
            <w:webHidden/>
          </w:rPr>
        </w:r>
        <w:r w:rsidR="005D077F">
          <w:rPr>
            <w:noProof/>
            <w:webHidden/>
          </w:rPr>
          <w:fldChar w:fldCharType="separate"/>
        </w:r>
        <w:r w:rsidR="00EF763C">
          <w:rPr>
            <w:noProof/>
            <w:webHidden/>
          </w:rPr>
          <w:t>11</w:t>
        </w:r>
        <w:r w:rsidR="005D077F">
          <w:rPr>
            <w:noProof/>
            <w:webHidden/>
          </w:rPr>
          <w:fldChar w:fldCharType="end"/>
        </w:r>
      </w:hyperlink>
    </w:p>
    <w:p w14:paraId="3D22A4BC" w14:textId="0A5C21F6"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49" w:history="1">
        <w:r w:rsidR="005D077F" w:rsidRPr="00434061">
          <w:rPr>
            <w:rStyle w:val="Hyperlink"/>
            <w:noProof/>
          </w:rPr>
          <w:t>Financial statement</w:t>
        </w:r>
        <w:r w:rsidR="005D077F">
          <w:rPr>
            <w:noProof/>
            <w:webHidden/>
          </w:rPr>
          <w:tab/>
        </w:r>
        <w:r w:rsidR="005D077F">
          <w:rPr>
            <w:noProof/>
            <w:webHidden/>
          </w:rPr>
          <w:fldChar w:fldCharType="begin"/>
        </w:r>
        <w:r w:rsidR="005D077F">
          <w:rPr>
            <w:noProof/>
            <w:webHidden/>
          </w:rPr>
          <w:instrText xml:space="preserve"> PAGEREF _Toc149817449 \h </w:instrText>
        </w:r>
        <w:r w:rsidR="005D077F">
          <w:rPr>
            <w:noProof/>
            <w:webHidden/>
          </w:rPr>
        </w:r>
        <w:r w:rsidR="005D077F">
          <w:rPr>
            <w:noProof/>
            <w:webHidden/>
          </w:rPr>
          <w:fldChar w:fldCharType="separate"/>
        </w:r>
        <w:r w:rsidR="00EF763C">
          <w:rPr>
            <w:noProof/>
            <w:webHidden/>
          </w:rPr>
          <w:t>12</w:t>
        </w:r>
        <w:r w:rsidR="005D077F">
          <w:rPr>
            <w:noProof/>
            <w:webHidden/>
          </w:rPr>
          <w:fldChar w:fldCharType="end"/>
        </w:r>
      </w:hyperlink>
    </w:p>
    <w:p w14:paraId="75168574" w14:textId="7F92EBD2"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50" w:history="1">
        <w:r w:rsidR="005D077F" w:rsidRPr="00434061">
          <w:rPr>
            <w:rStyle w:val="Hyperlink"/>
            <w:noProof/>
          </w:rPr>
          <w:t>Child Protection Awards</w:t>
        </w:r>
        <w:r w:rsidR="005D077F">
          <w:rPr>
            <w:noProof/>
            <w:webHidden/>
          </w:rPr>
          <w:tab/>
        </w:r>
        <w:r w:rsidR="005D077F">
          <w:rPr>
            <w:noProof/>
            <w:webHidden/>
          </w:rPr>
          <w:fldChar w:fldCharType="begin"/>
        </w:r>
        <w:r w:rsidR="005D077F">
          <w:rPr>
            <w:noProof/>
            <w:webHidden/>
          </w:rPr>
          <w:instrText xml:space="preserve"> PAGEREF _Toc149817450 \h </w:instrText>
        </w:r>
        <w:r w:rsidR="005D077F">
          <w:rPr>
            <w:noProof/>
            <w:webHidden/>
          </w:rPr>
        </w:r>
        <w:r w:rsidR="005D077F">
          <w:rPr>
            <w:noProof/>
            <w:webHidden/>
          </w:rPr>
          <w:fldChar w:fldCharType="separate"/>
        </w:r>
        <w:r w:rsidR="00EF763C">
          <w:rPr>
            <w:noProof/>
            <w:webHidden/>
          </w:rPr>
          <w:t>12</w:t>
        </w:r>
        <w:r w:rsidR="005D077F">
          <w:rPr>
            <w:noProof/>
            <w:webHidden/>
          </w:rPr>
          <w:fldChar w:fldCharType="end"/>
        </w:r>
      </w:hyperlink>
    </w:p>
    <w:p w14:paraId="7C0AA614" w14:textId="4CDADC87" w:rsidR="005D077F" w:rsidRDefault="00000000" w:rsidP="00A00188">
      <w:pPr>
        <w:pStyle w:val="TOC2"/>
        <w:rPr>
          <w:rFonts w:asciiTheme="minorHAnsi" w:eastAsiaTheme="minorEastAsia" w:hAnsiTheme="minorHAnsi" w:cstheme="minorBidi"/>
          <w:color w:val="auto"/>
          <w:kern w:val="0"/>
          <w:sz w:val="22"/>
          <w:szCs w:val="22"/>
          <w:lang w:val="en-AU" w:eastAsia="en-AU"/>
        </w:rPr>
      </w:pPr>
      <w:hyperlink w:anchor="_Toc149817451" w:history="1">
        <w:r w:rsidR="005D077F" w:rsidRPr="00434061">
          <w:rPr>
            <w:rStyle w:val="Hyperlink"/>
          </w:rPr>
          <w:t>Intervention group 1 July 2022 to 30 June 2023</w:t>
        </w:r>
        <w:r w:rsidR="005D077F">
          <w:rPr>
            <w:webHidden/>
          </w:rPr>
          <w:tab/>
        </w:r>
        <w:r w:rsidR="005D077F">
          <w:rPr>
            <w:webHidden/>
          </w:rPr>
          <w:fldChar w:fldCharType="begin"/>
        </w:r>
        <w:r w:rsidR="005D077F">
          <w:rPr>
            <w:webHidden/>
          </w:rPr>
          <w:instrText xml:space="preserve"> PAGEREF _Toc149817451 \h </w:instrText>
        </w:r>
        <w:r w:rsidR="005D077F">
          <w:rPr>
            <w:webHidden/>
          </w:rPr>
        </w:r>
        <w:r w:rsidR="005D077F">
          <w:rPr>
            <w:webHidden/>
          </w:rPr>
          <w:fldChar w:fldCharType="separate"/>
        </w:r>
        <w:r w:rsidR="00EF763C">
          <w:rPr>
            <w:webHidden/>
          </w:rPr>
          <w:t>13</w:t>
        </w:r>
        <w:r w:rsidR="005D077F">
          <w:rPr>
            <w:webHidden/>
          </w:rPr>
          <w:fldChar w:fldCharType="end"/>
        </w:r>
      </w:hyperlink>
    </w:p>
    <w:p w14:paraId="3F923FAE" w14:textId="1019A249"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52" w:history="1">
        <w:r w:rsidR="005D077F" w:rsidRPr="00434061">
          <w:rPr>
            <w:rStyle w:val="Hyperlink"/>
            <w:noProof/>
          </w:rPr>
          <w:t>Referrals and commencements</w:t>
        </w:r>
        <w:r w:rsidR="005D077F">
          <w:rPr>
            <w:noProof/>
            <w:webHidden/>
          </w:rPr>
          <w:tab/>
        </w:r>
        <w:r w:rsidR="005D077F">
          <w:rPr>
            <w:noProof/>
            <w:webHidden/>
          </w:rPr>
          <w:fldChar w:fldCharType="begin"/>
        </w:r>
        <w:r w:rsidR="005D077F">
          <w:rPr>
            <w:noProof/>
            <w:webHidden/>
          </w:rPr>
          <w:instrText xml:space="preserve"> PAGEREF _Toc149817452 \h </w:instrText>
        </w:r>
        <w:r w:rsidR="005D077F">
          <w:rPr>
            <w:noProof/>
            <w:webHidden/>
          </w:rPr>
        </w:r>
        <w:r w:rsidR="005D077F">
          <w:rPr>
            <w:noProof/>
            <w:webHidden/>
          </w:rPr>
          <w:fldChar w:fldCharType="separate"/>
        </w:r>
        <w:r w:rsidR="00EF763C">
          <w:rPr>
            <w:noProof/>
            <w:webHidden/>
          </w:rPr>
          <w:t>13</w:t>
        </w:r>
        <w:r w:rsidR="005D077F">
          <w:rPr>
            <w:noProof/>
            <w:webHidden/>
          </w:rPr>
          <w:fldChar w:fldCharType="end"/>
        </w:r>
      </w:hyperlink>
    </w:p>
    <w:p w14:paraId="68A1DE22" w14:textId="54EAFC37"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53" w:history="1">
        <w:r w:rsidR="005D077F" w:rsidRPr="00434061">
          <w:rPr>
            <w:rStyle w:val="Hyperlink"/>
            <w:noProof/>
          </w:rPr>
          <w:t>Family demographics</w:t>
        </w:r>
        <w:r w:rsidR="005D077F">
          <w:rPr>
            <w:noProof/>
            <w:webHidden/>
          </w:rPr>
          <w:tab/>
        </w:r>
        <w:r w:rsidR="005D077F">
          <w:rPr>
            <w:noProof/>
            <w:webHidden/>
          </w:rPr>
          <w:fldChar w:fldCharType="begin"/>
        </w:r>
        <w:r w:rsidR="005D077F">
          <w:rPr>
            <w:noProof/>
            <w:webHidden/>
          </w:rPr>
          <w:instrText xml:space="preserve"> PAGEREF _Toc149817453 \h </w:instrText>
        </w:r>
        <w:r w:rsidR="005D077F">
          <w:rPr>
            <w:noProof/>
            <w:webHidden/>
          </w:rPr>
        </w:r>
        <w:r w:rsidR="005D077F">
          <w:rPr>
            <w:noProof/>
            <w:webHidden/>
          </w:rPr>
          <w:fldChar w:fldCharType="separate"/>
        </w:r>
        <w:r w:rsidR="00EF763C">
          <w:rPr>
            <w:noProof/>
            <w:webHidden/>
          </w:rPr>
          <w:t>15</w:t>
        </w:r>
        <w:r w:rsidR="005D077F">
          <w:rPr>
            <w:noProof/>
            <w:webHidden/>
          </w:rPr>
          <w:fldChar w:fldCharType="end"/>
        </w:r>
      </w:hyperlink>
    </w:p>
    <w:p w14:paraId="24D3BC15" w14:textId="1796FC54"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54" w:history="1">
        <w:r w:rsidR="005D077F" w:rsidRPr="00434061">
          <w:rPr>
            <w:rStyle w:val="Hyperlink"/>
            <w:noProof/>
          </w:rPr>
          <w:t>Exclusions</w:t>
        </w:r>
        <w:r w:rsidR="005D077F">
          <w:rPr>
            <w:noProof/>
            <w:webHidden/>
          </w:rPr>
          <w:tab/>
        </w:r>
        <w:r w:rsidR="005D077F">
          <w:rPr>
            <w:noProof/>
            <w:webHidden/>
          </w:rPr>
          <w:fldChar w:fldCharType="begin"/>
        </w:r>
        <w:r w:rsidR="005D077F">
          <w:rPr>
            <w:noProof/>
            <w:webHidden/>
          </w:rPr>
          <w:instrText xml:space="preserve"> PAGEREF _Toc149817454 \h </w:instrText>
        </w:r>
        <w:r w:rsidR="005D077F">
          <w:rPr>
            <w:noProof/>
            <w:webHidden/>
          </w:rPr>
        </w:r>
        <w:r w:rsidR="005D077F">
          <w:rPr>
            <w:noProof/>
            <w:webHidden/>
          </w:rPr>
          <w:fldChar w:fldCharType="separate"/>
        </w:r>
        <w:r w:rsidR="00EF763C">
          <w:rPr>
            <w:noProof/>
            <w:webHidden/>
          </w:rPr>
          <w:t>17</w:t>
        </w:r>
        <w:r w:rsidR="005D077F">
          <w:rPr>
            <w:noProof/>
            <w:webHidden/>
          </w:rPr>
          <w:fldChar w:fldCharType="end"/>
        </w:r>
      </w:hyperlink>
    </w:p>
    <w:p w14:paraId="69E34386" w14:textId="61346754"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55" w:history="1">
        <w:r w:rsidR="005D077F" w:rsidRPr="00434061">
          <w:rPr>
            <w:rStyle w:val="Hyperlink"/>
            <w:noProof/>
          </w:rPr>
          <w:t>Safety achieved</w:t>
        </w:r>
        <w:r w:rsidR="005D077F">
          <w:rPr>
            <w:noProof/>
            <w:webHidden/>
          </w:rPr>
          <w:tab/>
        </w:r>
        <w:r w:rsidR="005D077F">
          <w:rPr>
            <w:noProof/>
            <w:webHidden/>
          </w:rPr>
          <w:fldChar w:fldCharType="begin"/>
        </w:r>
        <w:r w:rsidR="005D077F">
          <w:rPr>
            <w:noProof/>
            <w:webHidden/>
          </w:rPr>
          <w:instrText xml:space="preserve"> PAGEREF _Toc149817455 \h </w:instrText>
        </w:r>
        <w:r w:rsidR="005D077F">
          <w:rPr>
            <w:noProof/>
            <w:webHidden/>
          </w:rPr>
        </w:r>
        <w:r w:rsidR="005D077F">
          <w:rPr>
            <w:noProof/>
            <w:webHidden/>
          </w:rPr>
          <w:fldChar w:fldCharType="separate"/>
        </w:r>
        <w:r w:rsidR="00EF763C">
          <w:rPr>
            <w:noProof/>
            <w:webHidden/>
          </w:rPr>
          <w:t>18</w:t>
        </w:r>
        <w:r w:rsidR="005D077F">
          <w:rPr>
            <w:noProof/>
            <w:webHidden/>
          </w:rPr>
          <w:fldChar w:fldCharType="end"/>
        </w:r>
      </w:hyperlink>
    </w:p>
    <w:p w14:paraId="4EA259F9" w14:textId="2AC0AF17"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56" w:history="1">
        <w:r w:rsidR="005D077F" w:rsidRPr="00434061">
          <w:rPr>
            <w:rStyle w:val="Hyperlink"/>
            <w:noProof/>
          </w:rPr>
          <w:t>Unsuccessful exits</w:t>
        </w:r>
        <w:r w:rsidR="005D077F">
          <w:rPr>
            <w:noProof/>
            <w:webHidden/>
          </w:rPr>
          <w:tab/>
        </w:r>
        <w:r w:rsidR="005D077F">
          <w:rPr>
            <w:noProof/>
            <w:webHidden/>
          </w:rPr>
          <w:fldChar w:fldCharType="begin"/>
        </w:r>
        <w:r w:rsidR="005D077F">
          <w:rPr>
            <w:noProof/>
            <w:webHidden/>
          </w:rPr>
          <w:instrText xml:space="preserve"> PAGEREF _Toc149817456 \h </w:instrText>
        </w:r>
        <w:r w:rsidR="005D077F">
          <w:rPr>
            <w:noProof/>
            <w:webHidden/>
          </w:rPr>
        </w:r>
        <w:r w:rsidR="005D077F">
          <w:rPr>
            <w:noProof/>
            <w:webHidden/>
          </w:rPr>
          <w:fldChar w:fldCharType="separate"/>
        </w:r>
        <w:r w:rsidR="00EF763C">
          <w:rPr>
            <w:noProof/>
            <w:webHidden/>
          </w:rPr>
          <w:t>19</w:t>
        </w:r>
        <w:r w:rsidR="005D077F">
          <w:rPr>
            <w:noProof/>
            <w:webHidden/>
          </w:rPr>
          <w:fldChar w:fldCharType="end"/>
        </w:r>
      </w:hyperlink>
    </w:p>
    <w:p w14:paraId="45628DAF" w14:textId="4F80CCC6"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57" w:history="1">
        <w:r w:rsidR="005D077F" w:rsidRPr="00434061">
          <w:rPr>
            <w:rStyle w:val="Hyperlink"/>
            <w:noProof/>
          </w:rPr>
          <w:t>Family complexity</w:t>
        </w:r>
        <w:r w:rsidR="005D077F">
          <w:rPr>
            <w:noProof/>
            <w:webHidden/>
          </w:rPr>
          <w:tab/>
        </w:r>
        <w:r w:rsidR="005D077F">
          <w:rPr>
            <w:noProof/>
            <w:webHidden/>
          </w:rPr>
          <w:fldChar w:fldCharType="begin"/>
        </w:r>
        <w:r w:rsidR="005D077F">
          <w:rPr>
            <w:noProof/>
            <w:webHidden/>
          </w:rPr>
          <w:instrText xml:space="preserve"> PAGEREF _Toc149817457 \h </w:instrText>
        </w:r>
        <w:r w:rsidR="005D077F">
          <w:rPr>
            <w:noProof/>
            <w:webHidden/>
          </w:rPr>
        </w:r>
        <w:r w:rsidR="005D077F">
          <w:rPr>
            <w:noProof/>
            <w:webHidden/>
          </w:rPr>
          <w:fldChar w:fldCharType="separate"/>
        </w:r>
        <w:r w:rsidR="00EF763C">
          <w:rPr>
            <w:noProof/>
            <w:webHidden/>
          </w:rPr>
          <w:t>19</w:t>
        </w:r>
        <w:r w:rsidR="005D077F">
          <w:rPr>
            <w:noProof/>
            <w:webHidden/>
          </w:rPr>
          <w:fldChar w:fldCharType="end"/>
        </w:r>
      </w:hyperlink>
    </w:p>
    <w:p w14:paraId="70E23F73" w14:textId="7ADE06CE" w:rsidR="005D077F" w:rsidRDefault="00000000" w:rsidP="00A00188">
      <w:pPr>
        <w:pStyle w:val="TOC2"/>
        <w:rPr>
          <w:rFonts w:asciiTheme="minorHAnsi" w:eastAsiaTheme="minorEastAsia" w:hAnsiTheme="minorHAnsi" w:cstheme="minorBidi"/>
          <w:color w:val="auto"/>
          <w:kern w:val="0"/>
          <w:sz w:val="22"/>
          <w:szCs w:val="22"/>
          <w:lang w:val="en-AU" w:eastAsia="en-AU"/>
        </w:rPr>
      </w:pPr>
      <w:hyperlink w:anchor="_Toc149817458" w:history="1">
        <w:r w:rsidR="005D077F" w:rsidRPr="00434061">
          <w:rPr>
            <w:rStyle w:val="Hyperlink"/>
          </w:rPr>
          <w:t>Wellbeing and outcome indicators</w:t>
        </w:r>
        <w:r w:rsidR="005D077F">
          <w:rPr>
            <w:webHidden/>
          </w:rPr>
          <w:tab/>
        </w:r>
        <w:r w:rsidR="005D077F">
          <w:rPr>
            <w:webHidden/>
          </w:rPr>
          <w:fldChar w:fldCharType="begin"/>
        </w:r>
        <w:r w:rsidR="005D077F">
          <w:rPr>
            <w:webHidden/>
          </w:rPr>
          <w:instrText xml:space="preserve"> PAGEREF _Toc149817458 \h </w:instrText>
        </w:r>
        <w:r w:rsidR="005D077F">
          <w:rPr>
            <w:webHidden/>
          </w:rPr>
        </w:r>
        <w:r w:rsidR="005D077F">
          <w:rPr>
            <w:webHidden/>
          </w:rPr>
          <w:fldChar w:fldCharType="separate"/>
        </w:r>
        <w:r w:rsidR="00EF763C">
          <w:rPr>
            <w:webHidden/>
          </w:rPr>
          <w:t>21</w:t>
        </w:r>
        <w:r w:rsidR="005D077F">
          <w:rPr>
            <w:webHidden/>
          </w:rPr>
          <w:fldChar w:fldCharType="end"/>
        </w:r>
      </w:hyperlink>
    </w:p>
    <w:p w14:paraId="32A9068E" w14:textId="3C14CAAA"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59" w:history="1">
        <w:r w:rsidR="005D077F" w:rsidRPr="00434061">
          <w:rPr>
            <w:rStyle w:val="Hyperlink"/>
            <w:noProof/>
          </w:rPr>
          <w:t>Adult wellbeing</w:t>
        </w:r>
        <w:r w:rsidR="005D077F">
          <w:rPr>
            <w:noProof/>
            <w:webHidden/>
          </w:rPr>
          <w:tab/>
        </w:r>
        <w:r w:rsidR="005D077F">
          <w:rPr>
            <w:noProof/>
            <w:webHidden/>
          </w:rPr>
          <w:fldChar w:fldCharType="begin"/>
        </w:r>
        <w:r w:rsidR="005D077F">
          <w:rPr>
            <w:noProof/>
            <w:webHidden/>
          </w:rPr>
          <w:instrText xml:space="preserve"> PAGEREF _Toc149817459 \h </w:instrText>
        </w:r>
        <w:r w:rsidR="005D077F">
          <w:rPr>
            <w:noProof/>
            <w:webHidden/>
          </w:rPr>
        </w:r>
        <w:r w:rsidR="005D077F">
          <w:rPr>
            <w:noProof/>
            <w:webHidden/>
          </w:rPr>
          <w:fldChar w:fldCharType="separate"/>
        </w:r>
        <w:r w:rsidR="00EF763C">
          <w:rPr>
            <w:noProof/>
            <w:webHidden/>
          </w:rPr>
          <w:t>22</w:t>
        </w:r>
        <w:r w:rsidR="005D077F">
          <w:rPr>
            <w:noProof/>
            <w:webHidden/>
          </w:rPr>
          <w:fldChar w:fldCharType="end"/>
        </w:r>
      </w:hyperlink>
    </w:p>
    <w:p w14:paraId="196D3F18" w14:textId="0D61C02A"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60" w:history="1">
        <w:r w:rsidR="005D077F" w:rsidRPr="00434061">
          <w:rPr>
            <w:rStyle w:val="Hyperlink"/>
            <w:noProof/>
          </w:rPr>
          <w:t>Child wellbeing</w:t>
        </w:r>
        <w:r w:rsidR="005D077F">
          <w:rPr>
            <w:noProof/>
            <w:webHidden/>
          </w:rPr>
          <w:tab/>
        </w:r>
        <w:r w:rsidR="005D077F">
          <w:rPr>
            <w:noProof/>
            <w:webHidden/>
          </w:rPr>
          <w:fldChar w:fldCharType="begin"/>
        </w:r>
        <w:r w:rsidR="005D077F">
          <w:rPr>
            <w:noProof/>
            <w:webHidden/>
          </w:rPr>
          <w:instrText xml:space="preserve"> PAGEREF _Toc149817460 \h </w:instrText>
        </w:r>
        <w:r w:rsidR="005D077F">
          <w:rPr>
            <w:noProof/>
            <w:webHidden/>
          </w:rPr>
        </w:r>
        <w:r w:rsidR="005D077F">
          <w:rPr>
            <w:noProof/>
            <w:webHidden/>
          </w:rPr>
          <w:fldChar w:fldCharType="separate"/>
        </w:r>
        <w:r w:rsidR="00EF763C">
          <w:rPr>
            <w:noProof/>
            <w:webHidden/>
          </w:rPr>
          <w:t>22</w:t>
        </w:r>
        <w:r w:rsidR="005D077F">
          <w:rPr>
            <w:noProof/>
            <w:webHidden/>
          </w:rPr>
          <w:fldChar w:fldCharType="end"/>
        </w:r>
      </w:hyperlink>
    </w:p>
    <w:p w14:paraId="0F1A3677" w14:textId="53B2E714"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61" w:history="1">
        <w:r w:rsidR="005D077F" w:rsidRPr="00434061">
          <w:rPr>
            <w:rStyle w:val="Hyperlink"/>
            <w:noProof/>
          </w:rPr>
          <w:t>Empowerment</w:t>
        </w:r>
        <w:r w:rsidR="005D077F">
          <w:rPr>
            <w:noProof/>
            <w:webHidden/>
          </w:rPr>
          <w:tab/>
        </w:r>
        <w:r w:rsidR="005D077F">
          <w:rPr>
            <w:noProof/>
            <w:webHidden/>
          </w:rPr>
          <w:fldChar w:fldCharType="begin"/>
        </w:r>
        <w:r w:rsidR="005D077F">
          <w:rPr>
            <w:noProof/>
            <w:webHidden/>
          </w:rPr>
          <w:instrText xml:space="preserve"> PAGEREF _Toc149817461 \h </w:instrText>
        </w:r>
        <w:r w:rsidR="005D077F">
          <w:rPr>
            <w:noProof/>
            <w:webHidden/>
          </w:rPr>
        </w:r>
        <w:r w:rsidR="005D077F">
          <w:rPr>
            <w:noProof/>
            <w:webHidden/>
          </w:rPr>
          <w:fldChar w:fldCharType="separate"/>
        </w:r>
        <w:r w:rsidR="00EF763C">
          <w:rPr>
            <w:noProof/>
            <w:webHidden/>
          </w:rPr>
          <w:t>23</w:t>
        </w:r>
        <w:r w:rsidR="005D077F">
          <w:rPr>
            <w:noProof/>
            <w:webHidden/>
          </w:rPr>
          <w:fldChar w:fldCharType="end"/>
        </w:r>
      </w:hyperlink>
    </w:p>
    <w:p w14:paraId="7BA8364A" w14:textId="074B8E4A"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62" w:history="1">
        <w:r w:rsidR="005D077F" w:rsidRPr="00434061">
          <w:rPr>
            <w:rStyle w:val="Hyperlink"/>
            <w:noProof/>
          </w:rPr>
          <w:t>Mental health</w:t>
        </w:r>
        <w:r w:rsidR="005D077F">
          <w:rPr>
            <w:noProof/>
            <w:webHidden/>
          </w:rPr>
          <w:tab/>
        </w:r>
        <w:r w:rsidR="005D077F">
          <w:rPr>
            <w:noProof/>
            <w:webHidden/>
          </w:rPr>
          <w:fldChar w:fldCharType="begin"/>
        </w:r>
        <w:r w:rsidR="005D077F">
          <w:rPr>
            <w:noProof/>
            <w:webHidden/>
          </w:rPr>
          <w:instrText xml:space="preserve"> PAGEREF _Toc149817462 \h </w:instrText>
        </w:r>
        <w:r w:rsidR="005D077F">
          <w:rPr>
            <w:noProof/>
            <w:webHidden/>
          </w:rPr>
        </w:r>
        <w:r w:rsidR="005D077F">
          <w:rPr>
            <w:noProof/>
            <w:webHidden/>
          </w:rPr>
          <w:fldChar w:fldCharType="separate"/>
        </w:r>
        <w:r w:rsidR="00EF763C">
          <w:rPr>
            <w:noProof/>
            <w:webHidden/>
          </w:rPr>
          <w:t>24</w:t>
        </w:r>
        <w:r w:rsidR="005D077F">
          <w:rPr>
            <w:noProof/>
            <w:webHidden/>
          </w:rPr>
          <w:fldChar w:fldCharType="end"/>
        </w:r>
      </w:hyperlink>
    </w:p>
    <w:p w14:paraId="7F37A486" w14:textId="3F4B8EBF"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63" w:history="1">
        <w:r w:rsidR="005D077F" w:rsidRPr="00434061">
          <w:rPr>
            <w:rStyle w:val="Hyperlink"/>
            <w:noProof/>
          </w:rPr>
          <w:t xml:space="preserve">Case </w:t>
        </w:r>
        <w:r w:rsidR="007761B8">
          <w:rPr>
            <w:rStyle w:val="Hyperlink"/>
            <w:noProof/>
          </w:rPr>
          <w:t>s</w:t>
        </w:r>
        <w:r w:rsidR="005D077F" w:rsidRPr="00434061">
          <w:rPr>
            <w:rStyle w:val="Hyperlink"/>
            <w:noProof/>
          </w:rPr>
          <w:t>tudy</w:t>
        </w:r>
        <w:r w:rsidR="005D077F">
          <w:rPr>
            <w:noProof/>
            <w:webHidden/>
          </w:rPr>
          <w:tab/>
        </w:r>
        <w:r w:rsidR="005D077F">
          <w:rPr>
            <w:noProof/>
            <w:webHidden/>
          </w:rPr>
          <w:fldChar w:fldCharType="begin"/>
        </w:r>
        <w:r w:rsidR="005D077F">
          <w:rPr>
            <w:noProof/>
            <w:webHidden/>
          </w:rPr>
          <w:instrText xml:space="preserve"> PAGEREF _Toc149817463 \h </w:instrText>
        </w:r>
        <w:r w:rsidR="005D077F">
          <w:rPr>
            <w:noProof/>
            <w:webHidden/>
          </w:rPr>
        </w:r>
        <w:r w:rsidR="005D077F">
          <w:rPr>
            <w:noProof/>
            <w:webHidden/>
          </w:rPr>
          <w:fldChar w:fldCharType="separate"/>
        </w:r>
        <w:r w:rsidR="00EF763C">
          <w:rPr>
            <w:noProof/>
            <w:webHidden/>
          </w:rPr>
          <w:t>25</w:t>
        </w:r>
        <w:r w:rsidR="005D077F">
          <w:rPr>
            <w:noProof/>
            <w:webHidden/>
          </w:rPr>
          <w:fldChar w:fldCharType="end"/>
        </w:r>
      </w:hyperlink>
    </w:p>
    <w:p w14:paraId="14AF9B66" w14:textId="06574510"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64" w:history="1">
        <w:r w:rsidR="005D077F" w:rsidRPr="00434061">
          <w:rPr>
            <w:rStyle w:val="Hyperlink"/>
            <w:noProof/>
          </w:rPr>
          <w:t>Shared service goals</w:t>
        </w:r>
        <w:r w:rsidR="005D077F">
          <w:rPr>
            <w:noProof/>
            <w:webHidden/>
          </w:rPr>
          <w:tab/>
        </w:r>
        <w:r w:rsidR="005D077F">
          <w:rPr>
            <w:noProof/>
            <w:webHidden/>
          </w:rPr>
          <w:fldChar w:fldCharType="begin"/>
        </w:r>
        <w:r w:rsidR="005D077F">
          <w:rPr>
            <w:noProof/>
            <w:webHidden/>
          </w:rPr>
          <w:instrText xml:space="preserve"> PAGEREF _Toc149817464 \h </w:instrText>
        </w:r>
        <w:r w:rsidR="005D077F">
          <w:rPr>
            <w:noProof/>
            <w:webHidden/>
          </w:rPr>
        </w:r>
        <w:r w:rsidR="005D077F">
          <w:rPr>
            <w:noProof/>
            <w:webHidden/>
          </w:rPr>
          <w:fldChar w:fldCharType="separate"/>
        </w:r>
        <w:r w:rsidR="00EF763C">
          <w:rPr>
            <w:noProof/>
            <w:webHidden/>
          </w:rPr>
          <w:t>26</w:t>
        </w:r>
        <w:r w:rsidR="005D077F">
          <w:rPr>
            <w:noProof/>
            <w:webHidden/>
          </w:rPr>
          <w:fldChar w:fldCharType="end"/>
        </w:r>
      </w:hyperlink>
    </w:p>
    <w:p w14:paraId="2FE94F21" w14:textId="28F0CEDF" w:rsidR="005D077F" w:rsidRDefault="00000000" w:rsidP="00A00188">
      <w:pPr>
        <w:pStyle w:val="TOC2"/>
        <w:rPr>
          <w:rFonts w:asciiTheme="minorHAnsi" w:eastAsiaTheme="minorEastAsia" w:hAnsiTheme="minorHAnsi" w:cstheme="minorBidi"/>
          <w:color w:val="auto"/>
          <w:kern w:val="0"/>
          <w:sz w:val="22"/>
          <w:szCs w:val="22"/>
          <w:lang w:val="en-AU" w:eastAsia="en-AU"/>
        </w:rPr>
      </w:pPr>
      <w:hyperlink w:anchor="_Toc149817465" w:history="1">
        <w:r w:rsidR="005D077F" w:rsidRPr="00434061">
          <w:rPr>
            <w:rStyle w:val="Hyperlink"/>
          </w:rPr>
          <w:t>Conclusion</w:t>
        </w:r>
        <w:r w:rsidR="005D077F">
          <w:rPr>
            <w:webHidden/>
          </w:rPr>
          <w:tab/>
        </w:r>
        <w:r w:rsidR="005D077F">
          <w:rPr>
            <w:webHidden/>
          </w:rPr>
          <w:fldChar w:fldCharType="begin"/>
        </w:r>
        <w:r w:rsidR="005D077F">
          <w:rPr>
            <w:webHidden/>
          </w:rPr>
          <w:instrText xml:space="preserve"> PAGEREF _Toc149817465 \h </w:instrText>
        </w:r>
        <w:r w:rsidR="005D077F">
          <w:rPr>
            <w:webHidden/>
          </w:rPr>
        </w:r>
        <w:r w:rsidR="005D077F">
          <w:rPr>
            <w:webHidden/>
          </w:rPr>
          <w:fldChar w:fldCharType="separate"/>
        </w:r>
        <w:r w:rsidR="00EF763C">
          <w:rPr>
            <w:webHidden/>
          </w:rPr>
          <w:t>27</w:t>
        </w:r>
        <w:r w:rsidR="005D077F">
          <w:rPr>
            <w:webHidden/>
          </w:rPr>
          <w:fldChar w:fldCharType="end"/>
        </w:r>
      </w:hyperlink>
    </w:p>
    <w:p w14:paraId="248D6BDF" w14:textId="2F4E8417" w:rsidR="005D077F" w:rsidRDefault="00000000" w:rsidP="00A00188">
      <w:pPr>
        <w:pStyle w:val="TOC2"/>
        <w:rPr>
          <w:rFonts w:asciiTheme="minorHAnsi" w:eastAsiaTheme="minorEastAsia" w:hAnsiTheme="minorHAnsi" w:cstheme="minorBidi"/>
          <w:color w:val="auto"/>
          <w:kern w:val="0"/>
          <w:sz w:val="22"/>
          <w:szCs w:val="22"/>
          <w:lang w:val="en-AU" w:eastAsia="en-AU"/>
        </w:rPr>
      </w:pPr>
      <w:hyperlink w:anchor="_Toc149817466" w:history="1">
        <w:r w:rsidR="005D077F" w:rsidRPr="00434061">
          <w:rPr>
            <w:rStyle w:val="Hyperlink"/>
          </w:rPr>
          <w:t>Acronyms</w:t>
        </w:r>
        <w:r w:rsidR="005D077F">
          <w:rPr>
            <w:webHidden/>
          </w:rPr>
          <w:tab/>
        </w:r>
        <w:r w:rsidR="005D077F">
          <w:rPr>
            <w:webHidden/>
          </w:rPr>
          <w:fldChar w:fldCharType="begin"/>
        </w:r>
        <w:r w:rsidR="005D077F">
          <w:rPr>
            <w:webHidden/>
          </w:rPr>
          <w:instrText xml:space="preserve"> PAGEREF _Toc149817466 \h </w:instrText>
        </w:r>
        <w:r w:rsidR="005D077F">
          <w:rPr>
            <w:webHidden/>
          </w:rPr>
        </w:r>
        <w:r w:rsidR="005D077F">
          <w:rPr>
            <w:webHidden/>
          </w:rPr>
          <w:fldChar w:fldCharType="separate"/>
        </w:r>
        <w:r w:rsidR="00EF763C">
          <w:rPr>
            <w:webHidden/>
          </w:rPr>
          <w:t>28</w:t>
        </w:r>
        <w:r w:rsidR="005D077F">
          <w:rPr>
            <w:webHidden/>
          </w:rPr>
          <w:fldChar w:fldCharType="end"/>
        </w:r>
      </w:hyperlink>
    </w:p>
    <w:p w14:paraId="2E6D222E" w14:textId="7B3B2575" w:rsidR="005D077F" w:rsidRDefault="00000000" w:rsidP="00A00188">
      <w:pPr>
        <w:pStyle w:val="TOC2"/>
        <w:rPr>
          <w:rFonts w:asciiTheme="minorHAnsi" w:eastAsiaTheme="minorEastAsia" w:hAnsiTheme="minorHAnsi" w:cstheme="minorBidi"/>
          <w:color w:val="auto"/>
          <w:kern w:val="0"/>
          <w:sz w:val="22"/>
          <w:szCs w:val="22"/>
          <w:lang w:val="en-AU" w:eastAsia="en-AU"/>
        </w:rPr>
      </w:pPr>
      <w:hyperlink w:anchor="_Toc149817490" w:history="1">
        <w:r w:rsidR="005D077F" w:rsidRPr="00434061">
          <w:rPr>
            <w:rStyle w:val="Hyperlink"/>
          </w:rPr>
          <w:t>Appendix – plain text descriptions</w:t>
        </w:r>
        <w:r w:rsidR="005D077F">
          <w:rPr>
            <w:webHidden/>
          </w:rPr>
          <w:tab/>
        </w:r>
        <w:r w:rsidR="005D077F">
          <w:rPr>
            <w:webHidden/>
          </w:rPr>
          <w:fldChar w:fldCharType="begin"/>
        </w:r>
        <w:r w:rsidR="005D077F">
          <w:rPr>
            <w:webHidden/>
          </w:rPr>
          <w:instrText xml:space="preserve"> PAGEREF _Toc149817490 \h </w:instrText>
        </w:r>
        <w:r w:rsidR="005D077F">
          <w:rPr>
            <w:webHidden/>
          </w:rPr>
        </w:r>
        <w:r w:rsidR="005D077F">
          <w:rPr>
            <w:webHidden/>
          </w:rPr>
          <w:fldChar w:fldCharType="separate"/>
        </w:r>
        <w:r w:rsidR="00EF763C">
          <w:rPr>
            <w:webHidden/>
          </w:rPr>
          <w:t>31</w:t>
        </w:r>
        <w:r w:rsidR="005D077F">
          <w:rPr>
            <w:webHidden/>
          </w:rPr>
          <w:fldChar w:fldCharType="end"/>
        </w:r>
      </w:hyperlink>
    </w:p>
    <w:p w14:paraId="2BC510C2" w14:textId="40C35F3C" w:rsidR="005D077F" w:rsidRDefault="00000000" w:rsidP="00A00188">
      <w:pPr>
        <w:pStyle w:val="TOC3"/>
        <w:rPr>
          <w:rFonts w:asciiTheme="minorHAnsi" w:eastAsiaTheme="minorEastAsia" w:hAnsiTheme="minorHAnsi" w:cstheme="minorBidi"/>
          <w:noProof/>
          <w:color w:val="auto"/>
          <w:kern w:val="0"/>
          <w:sz w:val="22"/>
          <w:szCs w:val="22"/>
          <w:lang w:val="en-AU" w:eastAsia="en-AU"/>
        </w:rPr>
      </w:pPr>
      <w:hyperlink w:anchor="_Toc149817491" w:history="1">
        <w:r w:rsidR="005D077F" w:rsidRPr="00434061">
          <w:rPr>
            <w:rStyle w:val="Hyperlink"/>
            <w:noProof/>
          </w:rPr>
          <w:t>Figure 1 plain text description</w:t>
        </w:r>
        <w:r w:rsidR="005D077F">
          <w:rPr>
            <w:noProof/>
            <w:webHidden/>
          </w:rPr>
          <w:tab/>
        </w:r>
        <w:r w:rsidR="005D077F">
          <w:rPr>
            <w:noProof/>
            <w:webHidden/>
          </w:rPr>
          <w:fldChar w:fldCharType="begin"/>
        </w:r>
        <w:r w:rsidR="005D077F">
          <w:rPr>
            <w:noProof/>
            <w:webHidden/>
          </w:rPr>
          <w:instrText xml:space="preserve"> PAGEREF _Toc149817491 \h </w:instrText>
        </w:r>
        <w:r w:rsidR="005D077F">
          <w:rPr>
            <w:noProof/>
            <w:webHidden/>
          </w:rPr>
        </w:r>
        <w:r w:rsidR="005D077F">
          <w:rPr>
            <w:noProof/>
            <w:webHidden/>
          </w:rPr>
          <w:fldChar w:fldCharType="separate"/>
        </w:r>
        <w:r w:rsidR="00EF763C">
          <w:rPr>
            <w:noProof/>
            <w:webHidden/>
          </w:rPr>
          <w:t>31</w:t>
        </w:r>
        <w:r w:rsidR="005D077F">
          <w:rPr>
            <w:noProof/>
            <w:webHidden/>
          </w:rPr>
          <w:fldChar w:fldCharType="end"/>
        </w:r>
      </w:hyperlink>
    </w:p>
    <w:p w14:paraId="0081096A" w14:textId="49BFB2B8" w:rsidR="00E95768" w:rsidRDefault="00000000" w:rsidP="00A00188">
      <w:pPr>
        <w:pStyle w:val="TOC3"/>
        <w:rPr>
          <w:b/>
          <w:bCs/>
          <w:color w:val="5F497A" w:themeColor="accent4" w:themeShade="BF"/>
          <w:sz w:val="56"/>
          <w:szCs w:val="56"/>
        </w:rPr>
      </w:pPr>
      <w:hyperlink w:anchor="_Toc149817492" w:history="1">
        <w:r w:rsidR="005D077F" w:rsidRPr="00434061">
          <w:rPr>
            <w:rStyle w:val="Hyperlink"/>
            <w:noProof/>
          </w:rPr>
          <w:t>Figure 2 plain text description</w:t>
        </w:r>
        <w:r w:rsidR="005D077F">
          <w:rPr>
            <w:noProof/>
            <w:webHidden/>
          </w:rPr>
          <w:tab/>
        </w:r>
        <w:r w:rsidR="005D077F">
          <w:rPr>
            <w:noProof/>
            <w:webHidden/>
          </w:rPr>
          <w:fldChar w:fldCharType="begin"/>
        </w:r>
        <w:r w:rsidR="005D077F">
          <w:rPr>
            <w:noProof/>
            <w:webHidden/>
          </w:rPr>
          <w:instrText xml:space="preserve"> PAGEREF _Toc149817492 \h </w:instrText>
        </w:r>
        <w:r w:rsidR="005D077F">
          <w:rPr>
            <w:noProof/>
            <w:webHidden/>
          </w:rPr>
        </w:r>
        <w:r w:rsidR="005D077F">
          <w:rPr>
            <w:noProof/>
            <w:webHidden/>
          </w:rPr>
          <w:fldChar w:fldCharType="separate"/>
        </w:r>
        <w:r w:rsidR="00EF763C">
          <w:rPr>
            <w:noProof/>
            <w:webHidden/>
          </w:rPr>
          <w:t>31</w:t>
        </w:r>
        <w:r w:rsidR="005D077F">
          <w:rPr>
            <w:noProof/>
            <w:webHidden/>
          </w:rPr>
          <w:fldChar w:fldCharType="end"/>
        </w:r>
      </w:hyperlink>
      <w:r w:rsidR="005D077F">
        <w:rPr>
          <w:b/>
          <w:sz w:val="28"/>
          <w:szCs w:val="32"/>
        </w:rPr>
        <w:fldChar w:fldCharType="end"/>
      </w:r>
      <w:bookmarkStart w:id="5" w:name="_Toc107931715"/>
      <w:bookmarkStart w:id="6" w:name="_Toc145935865"/>
      <w:bookmarkStart w:id="7" w:name="_Toc147318174"/>
      <w:r w:rsidR="00E95768">
        <w:br w:type="page"/>
      </w:r>
    </w:p>
    <w:p w14:paraId="5B8DDD33" w14:textId="649D4586" w:rsidR="00A91343" w:rsidRPr="00E427A9" w:rsidRDefault="00C9195F" w:rsidP="00E427A9">
      <w:pPr>
        <w:pStyle w:val="Heading2"/>
      </w:pPr>
      <w:bookmarkStart w:id="8" w:name="_Toc149817441"/>
      <w:r w:rsidRPr="00E427A9">
        <w:lastRenderedPageBreak/>
        <w:t>Foreword</w:t>
      </w:r>
      <w:bookmarkEnd w:id="5"/>
      <w:bookmarkEnd w:id="6"/>
      <w:bookmarkEnd w:id="7"/>
      <w:bookmarkEnd w:id="8"/>
      <w:r w:rsidRPr="00E427A9">
        <w:t xml:space="preserve"> </w:t>
      </w:r>
    </w:p>
    <w:p w14:paraId="61FDA602" w14:textId="4C19CE93" w:rsidR="00701D9D" w:rsidRPr="00360D8B" w:rsidRDefault="00701D9D" w:rsidP="00360D8B">
      <w:pPr>
        <w:pStyle w:val="BodyText"/>
      </w:pPr>
      <w:r w:rsidRPr="00360D8B">
        <w:t>The Resilien</w:t>
      </w:r>
      <w:r w:rsidR="003236ED">
        <w:t>t</w:t>
      </w:r>
      <w:r w:rsidRPr="00360D8B">
        <w:t xml:space="preserve"> Families Program in South Australia has been in place for two years having commenced at our Melrose Park office in July 2021 and then moving into Murray Bridge in</w:t>
      </w:r>
      <w:r w:rsidR="00043453" w:rsidRPr="00360D8B">
        <w:t xml:space="preserve"> </w:t>
      </w:r>
      <w:r w:rsidRPr="00360D8B">
        <w:t>2023. The program is based on our well</w:t>
      </w:r>
      <w:r w:rsidR="00D0624B" w:rsidRPr="00360D8B">
        <w:t>-</w:t>
      </w:r>
      <w:r w:rsidRPr="00360D8B">
        <w:t>evidenced Resilience Practice Framework</w:t>
      </w:r>
      <w:r w:rsidR="00A4045C" w:rsidRPr="00360D8B">
        <w:t>,</w:t>
      </w:r>
      <w:r w:rsidRPr="00360D8B">
        <w:t xml:space="preserve"> which was developed by The Benevolent Society</w:t>
      </w:r>
      <w:r w:rsidR="00BE5D5B" w:rsidRPr="00360D8B">
        <w:t xml:space="preserve"> </w:t>
      </w:r>
      <w:r w:rsidRPr="00360D8B">
        <w:t xml:space="preserve">10 years ago and is the foundational framework for our work in Family Preservation in </w:t>
      </w:r>
      <w:r w:rsidR="00BE5D5B" w:rsidRPr="00360D8B">
        <w:t>New South Wales</w:t>
      </w:r>
      <w:r w:rsidRPr="00360D8B">
        <w:t xml:space="preserve">, </w:t>
      </w:r>
      <w:r w:rsidR="00894972" w:rsidRPr="00360D8B">
        <w:t>Q</w:t>
      </w:r>
      <w:r w:rsidR="00BE5D5B" w:rsidRPr="00360D8B">
        <w:t>ueensland</w:t>
      </w:r>
      <w:r w:rsidR="00894972" w:rsidRPr="00360D8B">
        <w:t>,</w:t>
      </w:r>
      <w:r w:rsidRPr="00360D8B">
        <w:t xml:space="preserve"> and S</w:t>
      </w:r>
      <w:r w:rsidR="00BE5D5B" w:rsidRPr="00360D8B">
        <w:t xml:space="preserve">outh </w:t>
      </w:r>
      <w:r w:rsidRPr="00360D8B">
        <w:t>A</w:t>
      </w:r>
      <w:r w:rsidR="00BE5D5B" w:rsidRPr="00360D8B">
        <w:t>ustralia</w:t>
      </w:r>
      <w:r w:rsidRPr="00360D8B">
        <w:t xml:space="preserve">. The program has reached a high success factor of family preservation to date and this is due to a combination of the practice frameworks robustness; the respectful and collaborative relationship between </w:t>
      </w:r>
      <w:r w:rsidR="00BE5D5B" w:rsidRPr="00360D8B">
        <w:t xml:space="preserve">The Benevolent Society </w:t>
      </w:r>
      <w:r w:rsidRPr="00360D8B">
        <w:t xml:space="preserve">and our </w:t>
      </w:r>
      <w:r w:rsidR="00625716" w:rsidRPr="00360D8B">
        <w:t xml:space="preserve">Department </w:t>
      </w:r>
      <w:r w:rsidR="00FA5677" w:rsidRPr="00360D8B">
        <w:t>for</w:t>
      </w:r>
      <w:r w:rsidR="00625716" w:rsidRPr="00360D8B">
        <w:t xml:space="preserve"> Child Protection</w:t>
      </w:r>
      <w:r w:rsidRPr="00360D8B">
        <w:t xml:space="preserve"> colleagues</w:t>
      </w:r>
      <w:r w:rsidR="006F4D05" w:rsidRPr="00360D8B">
        <w:t>,</w:t>
      </w:r>
      <w:r w:rsidRPr="00360D8B">
        <w:t xml:space="preserve"> and the quality of the service provision by our staff. We welcome the South Australian and Commonwealth </w:t>
      </w:r>
      <w:r w:rsidR="00BE5D5B" w:rsidRPr="00360D8B">
        <w:t>G</w:t>
      </w:r>
      <w:r w:rsidRPr="00360D8B">
        <w:t>overnments</w:t>
      </w:r>
      <w:r w:rsidR="00330C8E" w:rsidRPr="00360D8B">
        <w:t>’</w:t>
      </w:r>
      <w:r w:rsidRPr="00360D8B">
        <w:t xml:space="preserve"> commitment to this work and</w:t>
      </w:r>
      <w:r w:rsidR="00BE5D5B" w:rsidRPr="00360D8B">
        <w:t>,</w:t>
      </w:r>
      <w:r w:rsidRPr="00360D8B">
        <w:t xml:space="preserve"> as this annual report will attest</w:t>
      </w:r>
      <w:r w:rsidR="00330C8E" w:rsidRPr="00360D8B">
        <w:t>,</w:t>
      </w:r>
      <w:r w:rsidRPr="00360D8B">
        <w:t xml:space="preserve"> the difference that this program makes to vulnerable South Australians lives on a daily basis.</w:t>
      </w:r>
    </w:p>
    <w:p w14:paraId="1CE393B2" w14:textId="3BF6D54B" w:rsidR="00FE16B7" w:rsidRPr="00360D8B" w:rsidRDefault="00486973" w:rsidP="00360D8B">
      <w:pPr>
        <w:pStyle w:val="Quote1"/>
      </w:pPr>
      <w:r w:rsidRPr="00360D8B">
        <w:t>Josie Kitch</w:t>
      </w:r>
      <w:r w:rsidR="00FD5376" w:rsidRPr="00360D8B">
        <w:t xml:space="preserve">, </w:t>
      </w:r>
      <w:r w:rsidR="00FE16B7" w:rsidRPr="00360D8B">
        <w:t>Director Operations – South Australia (Disability and Child and Family), The Benevolent Society</w:t>
      </w:r>
    </w:p>
    <w:p w14:paraId="7DB52FCE" w14:textId="5579508D" w:rsidR="008C3227" w:rsidRDefault="000B4D3D" w:rsidP="009E6CEB">
      <w:pPr>
        <w:pStyle w:val="BodyText"/>
      </w:pPr>
      <w:r w:rsidRPr="00963AA1">
        <w:t xml:space="preserve">The Resilient Families program </w:t>
      </w:r>
      <w:r w:rsidR="00DB32F8">
        <w:t>is an excellent partnership between</w:t>
      </w:r>
      <w:r w:rsidRPr="00963AA1">
        <w:t xml:space="preserve"> the South Australian Government</w:t>
      </w:r>
      <w:r w:rsidR="00F67FA0">
        <w:t xml:space="preserve"> and The Benevolent Society for the provision of intensive family support services focused on the safety</w:t>
      </w:r>
      <w:r w:rsidR="00863FF2">
        <w:t xml:space="preserve"> and wellbeing of at-risk children. The program’s unique social impact investment model </w:t>
      </w:r>
      <w:r w:rsidR="007E3838">
        <w:t>provides us with</w:t>
      </w:r>
      <w:r w:rsidRPr="00963AA1">
        <w:t xml:space="preserve"> an opportunity</w:t>
      </w:r>
      <w:r w:rsidR="007E3838">
        <w:t xml:space="preserve"> to closely collaborate between all parties and further build the evidence base for early intervention services in South Australia. We are grateful to The Benevolent Society for </w:t>
      </w:r>
      <w:r w:rsidR="00676917">
        <w:t xml:space="preserve">their ongoing commitment to deliver high quality services. </w:t>
      </w:r>
    </w:p>
    <w:p w14:paraId="28CF7114" w14:textId="2FF44548" w:rsidR="00486973" w:rsidRPr="00963AA1" w:rsidRDefault="0038710E" w:rsidP="009E6CEB">
      <w:pPr>
        <w:pStyle w:val="BodyText"/>
      </w:pPr>
      <w:r w:rsidRPr="00963AA1">
        <w:t xml:space="preserve">As part of </w:t>
      </w:r>
      <w:r w:rsidR="008325AC">
        <w:t>our ongoing efforts to implement a trauma-informed family support system</w:t>
      </w:r>
      <w:r w:rsidR="004C0C9C" w:rsidRPr="00963AA1">
        <w:t xml:space="preserve">, </w:t>
      </w:r>
      <w:r w:rsidR="009F2609">
        <w:t>The Benevolent Society</w:t>
      </w:r>
      <w:r w:rsidR="00645C59" w:rsidRPr="00963AA1">
        <w:t xml:space="preserve"> is </w:t>
      </w:r>
      <w:r w:rsidR="004C0C9C" w:rsidRPr="00963AA1">
        <w:t>sharing and increasing their individual and collective knowledge about principles and practices that</w:t>
      </w:r>
      <w:r w:rsidR="00645C59" w:rsidRPr="00963AA1">
        <w:t xml:space="preserve"> </w:t>
      </w:r>
      <w:r w:rsidR="004C0C9C" w:rsidRPr="00963AA1">
        <w:t>provide a trauma</w:t>
      </w:r>
      <w:r w:rsidR="009F2609">
        <w:t>-</w:t>
      </w:r>
      <w:r w:rsidR="004C0C9C" w:rsidRPr="00963AA1">
        <w:t>responsive approach to engagement, reflection, and family functioning</w:t>
      </w:r>
      <w:r w:rsidR="00645C59" w:rsidRPr="00963AA1">
        <w:t>. This will</w:t>
      </w:r>
      <w:r w:rsidR="00701F0F">
        <w:t xml:space="preserve"> further support our efforts to </w:t>
      </w:r>
      <w:r w:rsidR="004C0B74">
        <w:t>learn and understand how best to deliver trauma-informed services to children and their families</w:t>
      </w:r>
      <w:r w:rsidR="000B4D3D" w:rsidRPr="00963AA1">
        <w:t>.</w:t>
      </w:r>
    </w:p>
    <w:p w14:paraId="213E835E" w14:textId="77777777" w:rsidR="00A12456" w:rsidRPr="00963AA1" w:rsidRDefault="00486973" w:rsidP="00360D8B">
      <w:pPr>
        <w:pStyle w:val="Quote1"/>
      </w:pPr>
      <w:r w:rsidRPr="00963AA1">
        <w:t xml:space="preserve">Dr </w:t>
      </w:r>
      <w:r w:rsidR="00410438" w:rsidRPr="00963AA1">
        <w:t>Henry Pharo</w:t>
      </w:r>
      <w:r w:rsidR="00FD5376" w:rsidRPr="00963AA1">
        <w:t>, Director, Early Intervention Research Directorate, Department of Human Services</w:t>
      </w:r>
    </w:p>
    <w:p w14:paraId="34CD0303" w14:textId="77777777" w:rsidR="00EF763C" w:rsidRDefault="00EF763C">
      <w:pPr>
        <w:keepLines w:val="0"/>
        <w:spacing w:line="240" w:lineRule="auto"/>
        <w:rPr>
          <w:color w:val="auto"/>
        </w:rPr>
      </w:pPr>
      <w:r>
        <w:br w:type="page"/>
      </w:r>
    </w:p>
    <w:p w14:paraId="5A238D60" w14:textId="252919BC" w:rsidR="44783B0A" w:rsidRPr="00963AA1" w:rsidRDefault="00F760BA" w:rsidP="009E6CEB">
      <w:pPr>
        <w:pStyle w:val="BodyText"/>
      </w:pPr>
      <w:r w:rsidRPr="00360D8B">
        <w:lastRenderedPageBreak/>
        <w:t>Department for Child Protection</w:t>
      </w:r>
      <w:r w:rsidRPr="00963AA1">
        <w:t xml:space="preserve"> </w:t>
      </w:r>
      <w:r w:rsidR="44783B0A" w:rsidRPr="00963AA1">
        <w:t xml:space="preserve">continues to support the Resilient Families </w:t>
      </w:r>
      <w:r w:rsidR="00DC3E9B" w:rsidRPr="00963AA1">
        <w:t>Program in</w:t>
      </w:r>
      <w:r w:rsidR="44783B0A" w:rsidRPr="00963AA1">
        <w:t xml:space="preserve"> working towards improved social outcomes for vulnerable families and their children.</w:t>
      </w:r>
    </w:p>
    <w:p w14:paraId="5FB75A04" w14:textId="1415E985" w:rsidR="44783B0A" w:rsidRPr="00963AA1" w:rsidRDefault="44783B0A" w:rsidP="009E6CEB">
      <w:pPr>
        <w:pStyle w:val="BodyText"/>
      </w:pPr>
      <w:r w:rsidRPr="00963AA1">
        <w:t>The collaborative cross</w:t>
      </w:r>
      <w:r w:rsidR="00F760BA">
        <w:t>-</w:t>
      </w:r>
      <w:r w:rsidRPr="00963AA1">
        <w:t xml:space="preserve">agency process provides the opportunity for </w:t>
      </w:r>
      <w:r w:rsidR="00F760BA" w:rsidRPr="00360D8B">
        <w:t>Department for Child Protection</w:t>
      </w:r>
      <w:r w:rsidRPr="00963AA1">
        <w:t>, other government agencies and service providers to work together to strengthen family functioning and to create safer home environments for children and young people.</w:t>
      </w:r>
    </w:p>
    <w:p w14:paraId="12182429" w14:textId="1CDA220B" w:rsidR="44783B0A" w:rsidRPr="00963AA1" w:rsidRDefault="44783B0A" w:rsidP="009E6CEB">
      <w:pPr>
        <w:pStyle w:val="BodyText"/>
      </w:pPr>
      <w:r w:rsidRPr="00963AA1">
        <w:t xml:space="preserve">Early investment and support towards family preservation is critical in addressing long term challenges aligned to social disadvantage. The </w:t>
      </w:r>
      <w:r w:rsidR="1CDB1B0C" w:rsidRPr="00963AA1">
        <w:t xml:space="preserve">Resilient Families </w:t>
      </w:r>
      <w:r w:rsidR="41564F3E" w:rsidRPr="00963AA1">
        <w:t>P</w:t>
      </w:r>
      <w:r w:rsidRPr="00963AA1">
        <w:t>rogram uses integrated solutions to support families to stay together and to prevent children and young people from entering care.</w:t>
      </w:r>
    </w:p>
    <w:p w14:paraId="08FFD8F4" w14:textId="292506D9" w:rsidR="44783B0A" w:rsidRPr="00963AA1" w:rsidRDefault="00F760BA" w:rsidP="009E6CEB">
      <w:pPr>
        <w:pStyle w:val="BodyText"/>
      </w:pPr>
      <w:r w:rsidRPr="00360D8B">
        <w:t>Department for Child Protection</w:t>
      </w:r>
      <w:r w:rsidRPr="00963AA1">
        <w:t xml:space="preserve"> </w:t>
      </w:r>
      <w:r w:rsidR="44783B0A" w:rsidRPr="00963AA1">
        <w:t>look forward to continuing to work in partnership to safeguard families and children in South Australia.</w:t>
      </w:r>
    </w:p>
    <w:p w14:paraId="3A881CB2" w14:textId="2466BADD" w:rsidR="787C56BF" w:rsidRPr="00963AA1" w:rsidRDefault="00BA1B05" w:rsidP="00360D8B">
      <w:pPr>
        <w:pStyle w:val="Quote1"/>
      </w:pPr>
      <w:r w:rsidRPr="00963AA1">
        <w:t>Kitty McLean, Director, Quality and Practice, Department for Child Protection</w:t>
      </w:r>
    </w:p>
    <w:p w14:paraId="06841B47" w14:textId="326B0C58" w:rsidR="00BA0A6A" w:rsidRPr="00963AA1" w:rsidRDefault="1C309C8F" w:rsidP="009E6CEB">
      <w:pPr>
        <w:pStyle w:val="BodyText"/>
      </w:pPr>
      <w:r w:rsidRPr="009E6CEB">
        <w:t>Resilient Families continues to demonstrate what can be achieved by bringing together</w:t>
      </w:r>
      <w:r w:rsidRPr="00963AA1">
        <w:t xml:space="preserve"> federal and state governments with service providers to deliver collaborative projects to tackle entrenched social disadvantage. Early investment in family preservation can have long</w:t>
      </w:r>
      <w:r w:rsidR="00736552">
        <w:t>-</w:t>
      </w:r>
      <w:r w:rsidRPr="00963AA1">
        <w:t>term implications for future welfare costs. Resilient Families is an example of a strong program providing support and intervention to keep families together while also improving long</w:t>
      </w:r>
      <w:r w:rsidR="00736552">
        <w:t>-</w:t>
      </w:r>
      <w:r w:rsidRPr="00963AA1">
        <w:t>term outcomes in areas such as education and employment.</w:t>
      </w:r>
    </w:p>
    <w:p w14:paraId="0F8C21AA" w14:textId="7F0240F1" w:rsidR="00C9195F" w:rsidRPr="00963AA1" w:rsidRDefault="00FD5376" w:rsidP="00360D8B">
      <w:pPr>
        <w:pStyle w:val="Quote1"/>
      </w:pPr>
      <w:r w:rsidRPr="00963AA1">
        <w:t>Social Impact Investing Unit, Department of Social Services</w:t>
      </w:r>
      <w:r w:rsidR="00C9195F" w:rsidRPr="00963AA1">
        <w:br w:type="page"/>
      </w:r>
    </w:p>
    <w:p w14:paraId="7CDDB6F1" w14:textId="51BAF571" w:rsidR="00C9195F" w:rsidRPr="00E427A9" w:rsidRDefault="002653A6" w:rsidP="00E427A9">
      <w:pPr>
        <w:pStyle w:val="Heading2"/>
      </w:pPr>
      <w:bookmarkStart w:id="9" w:name="_Toc107931716"/>
      <w:bookmarkStart w:id="10" w:name="_Toc145935866"/>
      <w:bookmarkStart w:id="11" w:name="_Toc147318175"/>
      <w:bookmarkStart w:id="12" w:name="_Toc149817442"/>
      <w:r w:rsidRPr="00E427A9">
        <w:lastRenderedPageBreak/>
        <w:t xml:space="preserve">Program </w:t>
      </w:r>
      <w:r w:rsidR="00366ABC" w:rsidRPr="00E427A9">
        <w:t>o</w:t>
      </w:r>
      <w:r w:rsidRPr="00E427A9">
        <w:t>verview</w:t>
      </w:r>
      <w:bookmarkEnd w:id="9"/>
      <w:bookmarkEnd w:id="10"/>
      <w:bookmarkEnd w:id="11"/>
      <w:bookmarkEnd w:id="12"/>
    </w:p>
    <w:p w14:paraId="2BABBD13" w14:textId="433E4149" w:rsidR="001F1D25" w:rsidRPr="00A94C80" w:rsidRDefault="001F1D25" w:rsidP="00A94C80">
      <w:pPr>
        <w:pStyle w:val="Heading3"/>
      </w:pPr>
      <w:bookmarkStart w:id="13" w:name="_Toc145935867"/>
      <w:bookmarkStart w:id="14" w:name="_Toc149817443"/>
      <w:r w:rsidRPr="00A94C80">
        <w:t>Resilient Families Program</w:t>
      </w:r>
      <w:bookmarkEnd w:id="13"/>
      <w:bookmarkEnd w:id="14"/>
    </w:p>
    <w:p w14:paraId="65716F48" w14:textId="59C0B826" w:rsidR="00650285" w:rsidRPr="00963AA1" w:rsidRDefault="00650285" w:rsidP="009E6CEB">
      <w:pPr>
        <w:pStyle w:val="BodyText"/>
      </w:pPr>
      <w:r w:rsidRPr="00963AA1">
        <w:t>Resilient Families (RF) is an evidence</w:t>
      </w:r>
      <w:r w:rsidR="006D1D4D">
        <w:t>-</w:t>
      </w:r>
      <w:r w:rsidRPr="00963AA1">
        <w:t>informed, therapeutic service that delivers outcomes for vulnerable children through intensive, long</w:t>
      </w:r>
      <w:r w:rsidR="006D1D4D">
        <w:t>-</w:t>
      </w:r>
      <w:r w:rsidRPr="00963AA1">
        <w:t>term, in</w:t>
      </w:r>
      <w:r w:rsidR="006D1D4D">
        <w:t>-</w:t>
      </w:r>
      <w:r w:rsidRPr="00963AA1">
        <w:t>home support. RF takes a whole</w:t>
      </w:r>
      <w:r w:rsidR="006D1D4D">
        <w:t>-</w:t>
      </w:r>
      <w:r w:rsidRPr="00963AA1">
        <w:t>of</w:t>
      </w:r>
      <w:r w:rsidR="006D1D4D">
        <w:t>-</w:t>
      </w:r>
      <w:r w:rsidRPr="00963AA1">
        <w:t xml:space="preserve">family approach to building safety, </w:t>
      </w:r>
      <w:r w:rsidR="00801CED" w:rsidRPr="00963AA1">
        <w:t>resilience,</w:t>
      </w:r>
      <w:r w:rsidRPr="00963AA1">
        <w:t xml:space="preserve"> and stability for families where the presence of risk factors indicates the need for intervention to reduce risk and prevent harm to the child or young person.</w:t>
      </w:r>
      <w:r w:rsidR="244CA27A" w:rsidRPr="00963AA1">
        <w:t xml:space="preserve"> Families that meet the program eligibility criteria and have been assessed as requiring intensive support are referred to the program by </w:t>
      </w:r>
      <w:r w:rsidR="006D1D4D" w:rsidRPr="00360D8B">
        <w:t>Department for Child Protection</w:t>
      </w:r>
      <w:r w:rsidR="006D1D4D" w:rsidRPr="00963AA1">
        <w:t xml:space="preserve"> </w:t>
      </w:r>
      <w:r w:rsidR="006D1D4D">
        <w:t>(</w:t>
      </w:r>
      <w:r w:rsidR="244CA27A" w:rsidRPr="00963AA1">
        <w:t>DCP</w:t>
      </w:r>
      <w:r w:rsidR="006D1D4D">
        <w:t>)</w:t>
      </w:r>
      <w:r w:rsidR="244CA27A" w:rsidRPr="00963AA1">
        <w:t>.</w:t>
      </w:r>
    </w:p>
    <w:p w14:paraId="4BC702E9" w14:textId="35CA5EEF" w:rsidR="00650285" w:rsidRPr="00963AA1" w:rsidRDefault="00650285" w:rsidP="009E6CEB">
      <w:pPr>
        <w:pStyle w:val="BodyText"/>
      </w:pPr>
      <w:r w:rsidRPr="00963AA1">
        <w:t>For the first 12 weeks of a family’s engagement with RF, they have access to 4</w:t>
      </w:r>
      <w:r w:rsidR="006D1D4D">
        <w:t xml:space="preserve"> to </w:t>
      </w:r>
      <w:r w:rsidRPr="00963AA1">
        <w:t>6 hours of in</w:t>
      </w:r>
      <w:r w:rsidR="006663CC" w:rsidRPr="00963AA1">
        <w:t>-</w:t>
      </w:r>
      <w:r w:rsidRPr="00963AA1">
        <w:t xml:space="preserve">home support per week, with 24/7 support available as required. As safety increases, risks </w:t>
      </w:r>
      <w:r w:rsidR="00801CED" w:rsidRPr="00963AA1">
        <w:t>decrease,</w:t>
      </w:r>
      <w:r w:rsidRPr="00963AA1">
        <w:t xml:space="preserve"> and family resilience is built. Support then tapers to a less intensive model (2</w:t>
      </w:r>
      <w:r w:rsidR="00EC3C0E" w:rsidRPr="00963AA1">
        <w:t xml:space="preserve"> to </w:t>
      </w:r>
      <w:r w:rsidRPr="00963AA1">
        <w:t>4 hours per week) for up to 12 months. During this support period, the full range of challenges faced by families is addressed, including</w:t>
      </w:r>
      <w:r w:rsidR="00C15539" w:rsidRPr="00963AA1">
        <w:t>,</w:t>
      </w:r>
      <w:r w:rsidRPr="00963AA1">
        <w:t xml:space="preserve"> substance misuse, domestic and family violence and mental health issues. The focus remains on child safety and family resilience, with positive engagement facilitated by intensive face</w:t>
      </w:r>
      <w:r w:rsidR="00FB7B9D" w:rsidRPr="00963AA1">
        <w:t>-</w:t>
      </w:r>
      <w:r w:rsidRPr="00963AA1">
        <w:t>to</w:t>
      </w:r>
      <w:r w:rsidR="00FB7B9D" w:rsidRPr="00963AA1">
        <w:t>-</w:t>
      </w:r>
      <w:r w:rsidRPr="00963AA1">
        <w:t>face contact to drive sustainable results.</w:t>
      </w:r>
      <w:r w:rsidR="0072020D" w:rsidRPr="00963AA1">
        <w:t xml:space="preserve"> </w:t>
      </w:r>
    </w:p>
    <w:p w14:paraId="2CC771BF" w14:textId="09895663" w:rsidR="00650285" w:rsidRPr="00963AA1" w:rsidRDefault="00650285" w:rsidP="009E6CEB">
      <w:pPr>
        <w:pStyle w:val="BodyText"/>
      </w:pPr>
      <w:r w:rsidRPr="00963AA1">
        <w:t>Over time, the counterparties (T</w:t>
      </w:r>
      <w:r w:rsidR="006D1D4D">
        <w:t xml:space="preserve">he Benevolent </w:t>
      </w:r>
      <w:r w:rsidRPr="00963AA1">
        <w:t>S</w:t>
      </w:r>
      <w:r w:rsidR="006D1D4D">
        <w:t>ociety</w:t>
      </w:r>
      <w:r w:rsidRPr="00963AA1">
        <w:t xml:space="preserve">, </w:t>
      </w:r>
      <w:r w:rsidR="006D1D4D" w:rsidRPr="006D1D4D">
        <w:t>Department of Human Services</w:t>
      </w:r>
      <w:r w:rsidRPr="00963AA1">
        <w:t xml:space="preserve">, </w:t>
      </w:r>
      <w:r w:rsidR="005B03A8" w:rsidRPr="00963AA1">
        <w:t>The Department for Child Protection</w:t>
      </w:r>
      <w:r w:rsidR="00F91673" w:rsidRPr="00963AA1">
        <w:t>)</w:t>
      </w:r>
      <w:r w:rsidRPr="00963AA1">
        <w:t xml:space="preserve"> will explore the feasibility of</w:t>
      </w:r>
      <w:r w:rsidR="006D1D4D">
        <w:t xml:space="preserve"> </w:t>
      </w:r>
      <w:r w:rsidR="006D1D4D" w:rsidRPr="006D1D4D">
        <w:t>Department of Human Service</w:t>
      </w:r>
      <w:r w:rsidR="006D1D4D">
        <w:t>s’</w:t>
      </w:r>
      <w:r w:rsidRPr="00963AA1">
        <w:t xml:space="preserve"> Child and Family Support System Pathways Service (centralised referral management for intensive family services) to refer to the </w:t>
      </w:r>
      <w:r w:rsidR="006D1D4D" w:rsidRPr="006D1D4D">
        <w:t>Resilient Families</w:t>
      </w:r>
      <w:r w:rsidR="006D1D4D">
        <w:t xml:space="preserve"> program</w:t>
      </w:r>
      <w:r w:rsidRPr="00963AA1">
        <w:t xml:space="preserve">. </w:t>
      </w:r>
    </w:p>
    <w:p w14:paraId="580051B4" w14:textId="02C91B97" w:rsidR="006D1D4D" w:rsidRDefault="00650285" w:rsidP="009E6CEB">
      <w:pPr>
        <w:pStyle w:val="BodyText"/>
      </w:pPr>
      <w:r w:rsidRPr="00963AA1">
        <w:t>The South Australian Government</w:t>
      </w:r>
      <w:r w:rsidR="00AE25B1" w:rsidRPr="00963AA1">
        <w:t>,</w:t>
      </w:r>
      <w:r w:rsidRPr="00963AA1">
        <w:t xml:space="preserve"> (through </w:t>
      </w:r>
      <w:r w:rsidR="006D1D4D" w:rsidRPr="006D1D4D">
        <w:t>Department of Human Services</w:t>
      </w:r>
      <w:r w:rsidRPr="00963AA1">
        <w:t xml:space="preserve">) engaged </w:t>
      </w:r>
      <w:r w:rsidR="006D1D4D" w:rsidRPr="006D1D4D">
        <w:t>The Benevolent Society</w:t>
      </w:r>
      <w:r w:rsidR="006D1D4D">
        <w:t xml:space="preserve"> </w:t>
      </w:r>
      <w:r w:rsidRPr="00963AA1">
        <w:t xml:space="preserve">to deliver its </w:t>
      </w:r>
      <w:r w:rsidR="006D1D4D" w:rsidRPr="006D1D4D">
        <w:t>Resilient Families</w:t>
      </w:r>
      <w:r w:rsidR="006D1D4D">
        <w:t xml:space="preserve"> program </w:t>
      </w:r>
      <w:r w:rsidRPr="00963AA1">
        <w:t xml:space="preserve">in accordance with the terms set out in the Resilient Families Social Impact Investment Program Deed dated 21 January 2021 to 30 June 2027 between the Minister for Human Services and </w:t>
      </w:r>
      <w:r w:rsidR="006D1D4D" w:rsidRPr="006D1D4D">
        <w:t>The Benevolent Society</w:t>
      </w:r>
      <w:r w:rsidRPr="00963AA1">
        <w:t>.</w:t>
      </w:r>
      <w:r w:rsidR="006D1D4D">
        <w:br/>
      </w:r>
    </w:p>
    <w:p w14:paraId="7834334A" w14:textId="77777777" w:rsidR="006D1D4D" w:rsidRDefault="006D1D4D">
      <w:pPr>
        <w:keepLines w:val="0"/>
        <w:spacing w:line="240" w:lineRule="auto"/>
        <w:rPr>
          <w:color w:val="auto"/>
        </w:rPr>
      </w:pPr>
      <w:r>
        <w:br w:type="page"/>
      </w:r>
    </w:p>
    <w:p w14:paraId="687276EC" w14:textId="27E8C28D" w:rsidR="00C950DE" w:rsidRDefault="00C950DE" w:rsidP="00893461">
      <w:pPr>
        <w:pStyle w:val="Caption"/>
      </w:pPr>
      <w:r>
        <w:lastRenderedPageBreak/>
        <w:t xml:space="preserve">Figure </w:t>
      </w:r>
      <w:r w:rsidR="006C1357">
        <w:fldChar w:fldCharType="begin"/>
      </w:r>
      <w:r w:rsidR="006C1357">
        <w:instrText xml:space="preserve"> SEQ Figure \* ARABIC </w:instrText>
      </w:r>
      <w:r w:rsidR="006C1357">
        <w:fldChar w:fldCharType="separate"/>
      </w:r>
      <w:r w:rsidR="005B408C">
        <w:rPr>
          <w:noProof/>
        </w:rPr>
        <w:t>1</w:t>
      </w:r>
      <w:r w:rsidR="006C1357">
        <w:rPr>
          <w:noProof/>
        </w:rPr>
        <w:fldChar w:fldCharType="end"/>
      </w:r>
      <w:r>
        <w:t xml:space="preserve"> Program Timeline: presents the implementation timeline for Resilient Families</w:t>
      </w:r>
    </w:p>
    <w:p w14:paraId="1EF55CD4" w14:textId="14F45A63" w:rsidR="001B0F36" w:rsidRDefault="001B0F36" w:rsidP="006D1D4D">
      <w:pPr>
        <w:pStyle w:val="BodyText"/>
      </w:pPr>
      <w:r w:rsidRPr="00F50466">
        <w:rPr>
          <w:noProof/>
          <w:lang w:val="en-AU"/>
        </w:rPr>
        <w:drawing>
          <wp:inline distT="0" distB="0" distL="0" distR="0" wp14:anchorId="7D3C34B2" wp14:editId="28A9DA58">
            <wp:extent cx="5400675" cy="2092437"/>
            <wp:effectExtent l="0" t="0" r="0" b="3175"/>
            <wp:docPr id="7" name="Picture 7" descr="The Resilient Families timeline, spanning 2021 to 2027. There is a longer description in the document's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Resilient Families timeline, spanning 2021 to 2027. There is a longer description in the document's appendi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2092437"/>
                    </a:xfrm>
                    <a:prstGeom prst="rect">
                      <a:avLst/>
                    </a:prstGeom>
                    <a:noFill/>
                  </pic:spPr>
                </pic:pic>
              </a:graphicData>
            </a:graphic>
          </wp:inline>
        </w:drawing>
      </w:r>
    </w:p>
    <w:p w14:paraId="584A1FA3" w14:textId="77777777" w:rsidR="00C950DE" w:rsidRDefault="00000000" w:rsidP="00C950DE">
      <w:pPr>
        <w:pStyle w:val="BodyText"/>
        <w:keepNext/>
      </w:pPr>
      <w:hyperlink w:anchor="_Figure_1_plain" w:history="1">
        <w:r w:rsidR="00C950DE">
          <w:rPr>
            <w:rStyle w:val="Hyperlink"/>
          </w:rPr>
          <w:t>Plain text description of Figure 1</w:t>
        </w:r>
      </w:hyperlink>
    </w:p>
    <w:p w14:paraId="44BBE28A" w14:textId="60489FD7" w:rsidR="008E4D95" w:rsidRPr="002C05FC" w:rsidRDefault="005A3343" w:rsidP="00A94C80">
      <w:pPr>
        <w:pStyle w:val="Heading3"/>
      </w:pPr>
      <w:bookmarkStart w:id="15" w:name="_Social_impact_investment"/>
      <w:bookmarkStart w:id="16" w:name="_Toc107931717"/>
      <w:bookmarkStart w:id="17" w:name="_Toc145935868"/>
      <w:bookmarkStart w:id="18" w:name="_Toc149817444"/>
      <w:bookmarkEnd w:id="15"/>
      <w:r w:rsidRPr="002C05FC">
        <w:t xml:space="preserve">Social </w:t>
      </w:r>
      <w:r w:rsidR="00366ABC">
        <w:t>i</w:t>
      </w:r>
      <w:r w:rsidRPr="002C05FC">
        <w:t xml:space="preserve">mpact </w:t>
      </w:r>
      <w:bookmarkEnd w:id="16"/>
      <w:r w:rsidR="00366ABC">
        <w:t>i</w:t>
      </w:r>
      <w:r w:rsidR="00352359" w:rsidRPr="002C05FC">
        <w:t>nvestment</w:t>
      </w:r>
      <w:bookmarkEnd w:id="17"/>
      <w:bookmarkEnd w:id="18"/>
    </w:p>
    <w:p w14:paraId="742E7BE7" w14:textId="3C7F720E" w:rsidR="001962FB" w:rsidRPr="00AF498F" w:rsidRDefault="001962FB" w:rsidP="003D3C42">
      <w:pPr>
        <w:pStyle w:val="BodyText"/>
      </w:pPr>
      <w:r w:rsidRPr="00AF498F">
        <w:t xml:space="preserve">In South Australia, </w:t>
      </w:r>
      <w:r w:rsidR="00A003EE" w:rsidRPr="006D1D4D">
        <w:t>Resilient Families</w:t>
      </w:r>
      <w:r w:rsidR="00A003EE">
        <w:t xml:space="preserve"> (</w:t>
      </w:r>
      <w:r w:rsidRPr="00AF498F">
        <w:t>RF</w:t>
      </w:r>
      <w:r w:rsidR="00A003EE">
        <w:t>)</w:t>
      </w:r>
      <w:r w:rsidRPr="00AF498F" w:rsidDel="00F45259">
        <w:t xml:space="preserve"> </w:t>
      </w:r>
      <w:r w:rsidRPr="00AF498F">
        <w:t>is a social impact investment, transacted as a ‘pay by results’ contract. The counterparties (</w:t>
      </w:r>
      <w:r w:rsidR="0081129C" w:rsidRPr="0081129C">
        <w:t>The Benevolent Society</w:t>
      </w:r>
      <w:r w:rsidRPr="00AF498F">
        <w:t xml:space="preserve">, </w:t>
      </w:r>
      <w:r w:rsidR="0081129C" w:rsidRPr="0081129C">
        <w:t>Department of Human Services</w:t>
      </w:r>
      <w:r w:rsidRPr="00AF498F">
        <w:t xml:space="preserve">, </w:t>
      </w:r>
      <w:r w:rsidR="00D655B8" w:rsidRPr="00D655B8">
        <w:t>Department for Child Protection</w:t>
      </w:r>
      <w:r w:rsidRPr="00AF498F">
        <w:t>) share contract management, and have agreed to work together to achieve a shared outcome, of preservation within the family home (and in community and culture) of a child under 9 years of age</w:t>
      </w:r>
      <w:r w:rsidR="3D2723E8" w:rsidRPr="00AF498F">
        <w:t xml:space="preserve"> (including unborn children)</w:t>
      </w:r>
      <w:r w:rsidRPr="00AF498F">
        <w:t xml:space="preserve"> or, where they might otherwise be removed </w:t>
      </w:r>
      <w:r w:rsidR="04B4B7F2" w:rsidRPr="00AF498F">
        <w:t>and placed in</w:t>
      </w:r>
      <w:r w:rsidRPr="00AF498F">
        <w:t xml:space="preserve"> care.</w:t>
      </w:r>
    </w:p>
    <w:p w14:paraId="74A48CCE" w14:textId="48ADCBC6" w:rsidR="003158F9" w:rsidRPr="00AF498F" w:rsidRDefault="001962FB" w:rsidP="003D3C42">
      <w:pPr>
        <w:pStyle w:val="BodyText"/>
      </w:pPr>
      <w:r w:rsidRPr="00AF498F">
        <w:t>Government and not</w:t>
      </w:r>
      <w:r w:rsidR="006D1D4D">
        <w:t>-</w:t>
      </w:r>
      <w:r w:rsidRPr="00AF498F">
        <w:t>for</w:t>
      </w:r>
      <w:r w:rsidR="006D1D4D">
        <w:t>-</w:t>
      </w:r>
      <w:r w:rsidRPr="00AF498F">
        <w:t>profit organisations collaborate in social impact investments to test innovative solutions to public policy challenges, such as the growth of children and young people in care. Social impact investments prioritise robust measurement, typically combining government administrative data and repeated program level wellbeing measures. Social impact investments are underpinned by 4 core principles:</w:t>
      </w:r>
    </w:p>
    <w:p w14:paraId="587ECE45" w14:textId="1C29FCB3" w:rsidR="001962FB" w:rsidRPr="00D655B8" w:rsidRDefault="00902F70" w:rsidP="00D655B8">
      <w:pPr>
        <w:pStyle w:val="Bullet-Numbered"/>
      </w:pPr>
      <w:r w:rsidRPr="00D655B8">
        <w:t>P</w:t>
      </w:r>
      <w:r w:rsidR="001962FB" w:rsidRPr="00D655B8">
        <w:t>revention: shifting the focus from high</w:t>
      </w:r>
      <w:r w:rsidR="006D1D4D" w:rsidRPr="00D655B8">
        <w:t>-</w:t>
      </w:r>
      <w:r w:rsidR="001962FB" w:rsidRPr="00D655B8">
        <w:t>cost acute services to prevention</w:t>
      </w:r>
      <w:r w:rsidRPr="00D655B8">
        <w:t>.</w:t>
      </w:r>
    </w:p>
    <w:p w14:paraId="13BC12AC" w14:textId="54F07036" w:rsidR="001962FB" w:rsidRPr="00D655B8" w:rsidRDefault="00902F70" w:rsidP="00D655B8">
      <w:pPr>
        <w:pStyle w:val="Bullet-Numbered"/>
      </w:pPr>
      <w:r w:rsidRPr="00D655B8">
        <w:t>I</w:t>
      </w:r>
      <w:r w:rsidR="001962FB" w:rsidRPr="00D655B8">
        <w:t xml:space="preserve">nnovation: demonstrating additionality and building an evidence base of </w:t>
      </w:r>
      <w:r w:rsidR="002B408D" w:rsidRPr="00D655B8">
        <w:br/>
      </w:r>
      <w:r w:rsidR="001962FB" w:rsidRPr="00D655B8">
        <w:t>‘what works’</w:t>
      </w:r>
      <w:r w:rsidRPr="00D655B8">
        <w:t>.</w:t>
      </w:r>
    </w:p>
    <w:p w14:paraId="31250FA6" w14:textId="6FD99B22" w:rsidR="001962FB" w:rsidRPr="00D655B8" w:rsidRDefault="00902F70" w:rsidP="00D655B8">
      <w:pPr>
        <w:pStyle w:val="Bullet-Numbered"/>
      </w:pPr>
      <w:r w:rsidRPr="00D655B8">
        <w:t>P</w:t>
      </w:r>
      <w:r w:rsidR="001962FB" w:rsidRPr="00D655B8">
        <w:t xml:space="preserve">artnerships: leveraging the strengths of different sectors and sharing risks </w:t>
      </w:r>
      <w:r w:rsidR="002B408D" w:rsidRPr="00D655B8">
        <w:br/>
      </w:r>
      <w:r w:rsidR="001962FB" w:rsidRPr="00D655B8">
        <w:t>and rewards</w:t>
      </w:r>
      <w:r w:rsidR="003158F9" w:rsidRPr="00D655B8">
        <w:t>.</w:t>
      </w:r>
    </w:p>
    <w:p w14:paraId="215568B7" w14:textId="22E6DCD3" w:rsidR="0A0FA2B1" w:rsidRPr="00D655B8" w:rsidRDefault="003158F9" w:rsidP="00D655B8">
      <w:pPr>
        <w:pStyle w:val="Bullet-Numbered"/>
      </w:pPr>
      <w:r w:rsidRPr="00D655B8">
        <w:t>O</w:t>
      </w:r>
      <w:r w:rsidR="001962FB" w:rsidRPr="00D655B8">
        <w:t>utcomes: designing for measuring, and rewarding delivery of outcomes.</w:t>
      </w:r>
    </w:p>
    <w:p w14:paraId="3543CDF7" w14:textId="4A57BE91" w:rsidR="001962FB" w:rsidRPr="00963AA1" w:rsidRDefault="001962FB" w:rsidP="00D655B8">
      <w:pPr>
        <w:pStyle w:val="BodyText"/>
        <w:keepLines w:val="0"/>
      </w:pPr>
      <w:r w:rsidRPr="00963AA1">
        <w:t xml:space="preserve">‘Pay by results’ contracts combine ‘traditional’ contract </w:t>
      </w:r>
      <w:r w:rsidR="6EFE5D4B" w:rsidRPr="00963AA1">
        <w:t>payment</w:t>
      </w:r>
      <w:r w:rsidR="7F93B548" w:rsidRPr="00963AA1">
        <w:t>s</w:t>
      </w:r>
      <w:r w:rsidRPr="00963AA1">
        <w:t xml:space="preserve"> with additional payments for higher levels of performance</w:t>
      </w:r>
      <w:r w:rsidR="65376D85" w:rsidRPr="00963AA1">
        <w:t>,</w:t>
      </w:r>
      <w:r w:rsidRPr="00963AA1">
        <w:t xml:space="preserve"> when achieving greater than expected results. In addition to a contracted outcome, the other distinctive feature of a ‘pay by results’ contract is that the South Australian government’s counterparty (</w:t>
      </w:r>
      <w:r w:rsidR="00372486" w:rsidRPr="00372486">
        <w:t xml:space="preserve">The </w:t>
      </w:r>
      <w:r w:rsidR="00372486" w:rsidRPr="00372486">
        <w:lastRenderedPageBreak/>
        <w:t>Benevolent Society</w:t>
      </w:r>
      <w:r w:rsidRPr="00963AA1">
        <w:t xml:space="preserve">) has agreed to bear some financial risk if the outcomes fall below an agreed rate. To maximise transparency, this expected outcomes rate is specified in the contract. Equally, </w:t>
      </w:r>
      <w:r w:rsidR="00372486" w:rsidRPr="00372486">
        <w:t>The Benevolent Society</w:t>
      </w:r>
      <w:r w:rsidRPr="00963AA1">
        <w:t xml:space="preserve">, as the counterparty to a ‘pay by results’ contract receives a financial return should the outcomes be greater than the expected rate. In </w:t>
      </w:r>
      <w:r w:rsidR="00372486" w:rsidRPr="00372486">
        <w:t>Resilient Families</w:t>
      </w:r>
      <w:r w:rsidRPr="00963AA1">
        <w:t>, this is defined as preservation of children in their homes at a greater rate than expected.</w:t>
      </w:r>
    </w:p>
    <w:p w14:paraId="05415F1D" w14:textId="77777777" w:rsidR="001962FB" w:rsidRPr="00560225" w:rsidRDefault="001962FB" w:rsidP="00A94C80">
      <w:pPr>
        <w:pStyle w:val="Heading4"/>
      </w:pPr>
      <w:bookmarkStart w:id="19" w:name="_Toc145935869"/>
      <w:r w:rsidRPr="00560225">
        <w:t xml:space="preserve">South Australian and </w:t>
      </w:r>
      <w:r w:rsidRPr="00A873B7">
        <w:t>Commonwealth</w:t>
      </w:r>
      <w:r w:rsidRPr="00560225">
        <w:t xml:space="preserve"> Governments</w:t>
      </w:r>
      <w:bookmarkEnd w:id="19"/>
    </w:p>
    <w:p w14:paraId="37EAA1F8" w14:textId="271C5030" w:rsidR="001962FB" w:rsidRPr="00963AA1" w:rsidRDefault="004F79E3" w:rsidP="009E6CEB">
      <w:pPr>
        <w:pStyle w:val="BodyText"/>
      </w:pPr>
      <w:r w:rsidRPr="00372486">
        <w:t>Resilient Families</w:t>
      </w:r>
      <w:r>
        <w:t xml:space="preserve"> (RF) </w:t>
      </w:r>
      <w:r w:rsidR="001962FB" w:rsidRPr="00963AA1">
        <w:t>is a joint project between the South Australian and Commonwealth Governments, via the Project Agreement for Commonwealth State Social Impact Investments, Intergovernmental Agreement on Federal Financial Relations. Both governments have a common concern in improved outcomes for families with children at imm</w:t>
      </w:r>
      <w:r w:rsidR="3494D146" w:rsidRPr="00963AA1">
        <w:t>i</w:t>
      </w:r>
      <w:r w:rsidR="001962FB" w:rsidRPr="00963AA1">
        <w:t xml:space="preserve">nent risk of removal. Both governments agree to share data and </w:t>
      </w:r>
      <w:r w:rsidR="6EFE5D4B" w:rsidRPr="00963AA1">
        <w:t>analyses</w:t>
      </w:r>
      <w:r w:rsidR="001962FB" w:rsidRPr="00963AA1">
        <w:t xml:space="preserve"> to assess the impact of Resilient Families, and to collaborate in evaluation.</w:t>
      </w:r>
    </w:p>
    <w:p w14:paraId="4C37F132" w14:textId="669B171F" w:rsidR="00E366AC" w:rsidRPr="006A2B4C" w:rsidRDefault="00E366AC" w:rsidP="00A94C80">
      <w:pPr>
        <w:pStyle w:val="Heading4"/>
      </w:pPr>
      <w:bookmarkStart w:id="20" w:name="_Toc145935870"/>
      <w:r w:rsidRPr="00C4528B">
        <w:t>Outcomes</w:t>
      </w:r>
      <w:r w:rsidRPr="006A2B4C">
        <w:t xml:space="preserve"> </w:t>
      </w:r>
      <w:r w:rsidR="00366ABC">
        <w:t>p</w:t>
      </w:r>
      <w:r w:rsidRPr="006A2B4C">
        <w:t>ayments</w:t>
      </w:r>
      <w:bookmarkEnd w:id="20"/>
    </w:p>
    <w:p w14:paraId="377A8E6C" w14:textId="4F1D7235" w:rsidR="00352359" w:rsidRPr="00963AA1" w:rsidRDefault="00F46253" w:rsidP="009E6CEB">
      <w:pPr>
        <w:pStyle w:val="BodyText"/>
      </w:pPr>
      <w:r w:rsidRPr="00963AA1">
        <w:t xml:space="preserve">The first calculation date will occur in February 2024, which will </w:t>
      </w:r>
      <w:r w:rsidR="001D1638" w:rsidRPr="00963AA1">
        <w:t xml:space="preserve">consider the </w:t>
      </w:r>
      <w:r w:rsidR="00AF62D1" w:rsidRPr="00963AA1">
        <w:t>outcome of families</w:t>
      </w:r>
      <w:r w:rsidR="00D74503" w:rsidRPr="00963AA1">
        <w:t xml:space="preserve"> in the intervention group</w:t>
      </w:r>
      <w:r w:rsidR="00AF62D1" w:rsidRPr="00963AA1">
        <w:t xml:space="preserve"> 12</w:t>
      </w:r>
      <w:r w:rsidR="1816E46B" w:rsidRPr="00963AA1">
        <w:t xml:space="preserve"> </w:t>
      </w:r>
      <w:r w:rsidR="00AF62D1" w:rsidRPr="00963AA1">
        <w:t xml:space="preserve">months after their commencement in the program. </w:t>
      </w:r>
      <w:r w:rsidR="78ABD2A1" w:rsidRPr="00963AA1">
        <w:t>This will reflect children who entered the intervention group in the first six quarters of the program’s operation (from July 2021 to December 2022).</w:t>
      </w:r>
      <w:r w:rsidR="54A92A2E" w:rsidRPr="00963AA1">
        <w:t xml:space="preserve">  </w:t>
      </w:r>
      <w:r w:rsidR="55146599" w:rsidRPr="00963AA1">
        <w:t xml:space="preserve">The </w:t>
      </w:r>
      <w:r w:rsidR="10FAF453" w:rsidRPr="00963AA1">
        <w:t>first calculated</w:t>
      </w:r>
      <w:r w:rsidR="55146599" w:rsidRPr="00963AA1">
        <w:t xml:space="preserve"> outcome </w:t>
      </w:r>
      <w:r w:rsidR="00E273A8" w:rsidRPr="00963AA1">
        <w:t xml:space="preserve">will be reported on in the </w:t>
      </w:r>
      <w:r w:rsidR="472AB38C" w:rsidRPr="00963AA1">
        <w:t>2023</w:t>
      </w:r>
      <w:r w:rsidR="000673C7">
        <w:t>–</w:t>
      </w:r>
      <w:r w:rsidR="472AB38C" w:rsidRPr="00963AA1">
        <w:t>24</w:t>
      </w:r>
      <w:r w:rsidR="00E273A8" w:rsidRPr="00963AA1">
        <w:t xml:space="preserve"> Annual Report.</w:t>
      </w:r>
    </w:p>
    <w:p w14:paraId="10E7402A" w14:textId="49FBD529" w:rsidR="003B0F72" w:rsidRPr="006A2B4C" w:rsidRDefault="003B0F72" w:rsidP="00A94C80">
      <w:pPr>
        <w:pStyle w:val="Heading3"/>
      </w:pPr>
      <w:bookmarkStart w:id="21" w:name="_Toc145935871"/>
      <w:bookmarkStart w:id="22" w:name="_Toc149817445"/>
      <w:r w:rsidRPr="006A2B4C">
        <w:t xml:space="preserve">Service </w:t>
      </w:r>
      <w:r w:rsidR="00366ABC">
        <w:t>m</w:t>
      </w:r>
      <w:r w:rsidRPr="00C4528B">
        <w:t>odel</w:t>
      </w:r>
      <w:bookmarkStart w:id="23" w:name="_Toc107931718"/>
      <w:bookmarkEnd w:id="21"/>
      <w:bookmarkEnd w:id="22"/>
      <w:r w:rsidRPr="006A2B4C">
        <w:t xml:space="preserve"> </w:t>
      </w:r>
    </w:p>
    <w:p w14:paraId="352F539B" w14:textId="77777777" w:rsidR="00DA59C9" w:rsidRDefault="00F116E3" w:rsidP="003D3C42">
      <w:pPr>
        <w:pStyle w:val="BodyText"/>
      </w:pPr>
      <w:r w:rsidRPr="006A2B4C">
        <w:t>The RF Service Model is based on evidence provided by</w:t>
      </w:r>
      <w:r w:rsidR="00DA59C9">
        <w:t>:</w:t>
      </w:r>
    </w:p>
    <w:p w14:paraId="5C5F9584" w14:textId="77777777" w:rsidR="00DA59C9" w:rsidRDefault="00F116E3" w:rsidP="00DA59C9">
      <w:pPr>
        <w:pStyle w:val="Bullets1"/>
      </w:pPr>
      <w:r w:rsidRPr="006A2B4C">
        <w:t>the evaluation of the Resilient Families (Social Benefit Bond) pilot</w:t>
      </w:r>
    </w:p>
    <w:p w14:paraId="40BF6613" w14:textId="77777777" w:rsidR="00DA59C9" w:rsidRDefault="00F116E3" w:rsidP="00DA59C9">
      <w:pPr>
        <w:pStyle w:val="Bullets1"/>
      </w:pPr>
      <w:r w:rsidRPr="006A2B4C">
        <w:t>the Resilience Practice Framework (RPF)</w:t>
      </w:r>
    </w:p>
    <w:p w14:paraId="2919D8EE" w14:textId="77777777" w:rsidR="00DA59C9" w:rsidRDefault="00F116E3" w:rsidP="00DA59C9">
      <w:pPr>
        <w:pStyle w:val="Bullets1"/>
      </w:pPr>
      <w:r w:rsidRPr="006A2B4C">
        <w:t>Evidence Informed Practices (EIPs).</w:t>
      </w:r>
    </w:p>
    <w:p w14:paraId="122521B8" w14:textId="411D4DF3" w:rsidR="00F116E3" w:rsidRPr="006A2B4C" w:rsidRDefault="00DA59C9" w:rsidP="003D3C42">
      <w:pPr>
        <w:pStyle w:val="BodyText"/>
      </w:pPr>
      <w:r w:rsidRPr="00DA59C9">
        <w:t>The Benevolent Society</w:t>
      </w:r>
      <w:r w:rsidR="00F116E3" w:rsidRPr="006A2B4C">
        <w:t>, in partnership with the Parenting Research Centre, has developed 42 EIPs</w:t>
      </w:r>
      <w:r w:rsidR="6036A0FC" w:rsidRPr="006A2B4C">
        <w:t>,</w:t>
      </w:r>
      <w:r w:rsidR="00F116E3" w:rsidRPr="006A2B4C">
        <w:t xml:space="preserve"> </w:t>
      </w:r>
      <w:r w:rsidR="44DD2EE3" w:rsidRPr="006A2B4C">
        <w:t>o</w:t>
      </w:r>
      <w:r w:rsidR="00F116E3" w:rsidRPr="006A2B4C">
        <w:t>f which, RF practitioners draw on the following practice guides in their work with families:</w:t>
      </w:r>
    </w:p>
    <w:p w14:paraId="358B4A37" w14:textId="3A08DA46" w:rsidR="00F116E3" w:rsidRPr="003023FA" w:rsidRDefault="00C42075" w:rsidP="00255B1A">
      <w:pPr>
        <w:pStyle w:val="Bullets1"/>
        <w:spacing w:after="80" w:line="240" w:lineRule="auto"/>
      </w:pPr>
      <w:r w:rsidRPr="003023FA">
        <w:t>i</w:t>
      </w:r>
      <w:r w:rsidR="00F116E3" w:rsidRPr="003023FA">
        <w:t xml:space="preserve">ncreasing safety </w:t>
      </w:r>
    </w:p>
    <w:p w14:paraId="3BAAE690" w14:textId="6D3FE11E" w:rsidR="00F116E3" w:rsidRPr="003023FA" w:rsidRDefault="00C42075" w:rsidP="00255B1A">
      <w:pPr>
        <w:pStyle w:val="Bullets1"/>
        <w:spacing w:after="80" w:line="240" w:lineRule="auto"/>
      </w:pPr>
      <w:r w:rsidRPr="003023FA">
        <w:t>s</w:t>
      </w:r>
      <w:r w:rsidR="00F116E3" w:rsidRPr="003023FA">
        <w:t xml:space="preserve">ecure and stable relationships </w:t>
      </w:r>
    </w:p>
    <w:p w14:paraId="265C0033" w14:textId="51E5A022" w:rsidR="0038666D" w:rsidRPr="003023FA" w:rsidRDefault="00C42075" w:rsidP="00255B1A">
      <w:pPr>
        <w:pStyle w:val="Bullets1"/>
        <w:spacing w:after="80" w:line="240" w:lineRule="auto"/>
      </w:pPr>
      <w:r w:rsidRPr="003023FA">
        <w:t>i</w:t>
      </w:r>
      <w:r w:rsidR="00F116E3" w:rsidRPr="003023FA">
        <w:t xml:space="preserve">ncreasing coping and self-regulation </w:t>
      </w:r>
    </w:p>
    <w:p w14:paraId="32806EDB" w14:textId="3EF685B4" w:rsidR="00F116E3" w:rsidRPr="003023FA" w:rsidRDefault="00C42075" w:rsidP="00255B1A">
      <w:pPr>
        <w:pStyle w:val="Bullets1"/>
        <w:spacing w:after="80" w:line="240" w:lineRule="auto"/>
      </w:pPr>
      <w:r w:rsidRPr="003023FA">
        <w:t>i</w:t>
      </w:r>
      <w:r w:rsidR="00F116E3" w:rsidRPr="003023FA">
        <w:t xml:space="preserve">mproving empathy </w:t>
      </w:r>
    </w:p>
    <w:p w14:paraId="0429A898" w14:textId="6BF5BBDC" w:rsidR="00F116E3" w:rsidRPr="003023FA" w:rsidRDefault="00C42075" w:rsidP="00255B1A">
      <w:pPr>
        <w:pStyle w:val="Bullets1"/>
        <w:spacing w:after="80" w:line="240" w:lineRule="auto"/>
      </w:pPr>
      <w:r w:rsidRPr="003023FA">
        <w:t>i</w:t>
      </w:r>
      <w:r w:rsidR="00F116E3" w:rsidRPr="003023FA">
        <w:t xml:space="preserve">ncreasing self-efficacy </w:t>
      </w:r>
    </w:p>
    <w:p w14:paraId="4D358B50" w14:textId="590CFD68" w:rsidR="00F116E3" w:rsidRPr="003023FA" w:rsidRDefault="00C42075" w:rsidP="00255B1A">
      <w:pPr>
        <w:pStyle w:val="Bullets1"/>
        <w:spacing w:after="80" w:line="240" w:lineRule="auto"/>
      </w:pPr>
      <w:r w:rsidRPr="003023FA">
        <w:t>p</w:t>
      </w:r>
      <w:r w:rsidR="00F116E3" w:rsidRPr="003023FA">
        <w:t xml:space="preserve">ractitioner skill </w:t>
      </w:r>
    </w:p>
    <w:p w14:paraId="1A2E4977" w14:textId="0AC77BE1" w:rsidR="00F116E3" w:rsidRPr="003023FA" w:rsidRDefault="00C42075" w:rsidP="00255B1A">
      <w:pPr>
        <w:pStyle w:val="Bullets1"/>
        <w:spacing w:after="80" w:line="240" w:lineRule="auto"/>
      </w:pPr>
      <w:r w:rsidRPr="003023FA">
        <w:lastRenderedPageBreak/>
        <w:t>c</w:t>
      </w:r>
      <w:r w:rsidR="00F116E3" w:rsidRPr="003023FA">
        <w:t xml:space="preserve">umulative harm </w:t>
      </w:r>
    </w:p>
    <w:p w14:paraId="7CC5260E" w14:textId="283EB267" w:rsidR="00F116E3" w:rsidRPr="003023FA" w:rsidRDefault="00C42075" w:rsidP="00255B1A">
      <w:pPr>
        <w:pStyle w:val="Bullets1"/>
        <w:spacing w:after="80" w:line="240" w:lineRule="auto"/>
      </w:pPr>
      <w:r w:rsidRPr="003023FA">
        <w:t>i</w:t>
      </w:r>
      <w:r w:rsidR="00F116E3" w:rsidRPr="003023FA">
        <w:t>nfants at risk of abuse and neglect.</w:t>
      </w:r>
    </w:p>
    <w:p w14:paraId="3251E065" w14:textId="77777777" w:rsidR="00F116E3" w:rsidRPr="006A2B4C" w:rsidRDefault="00F116E3" w:rsidP="009D53C1">
      <w:pPr>
        <w:pStyle w:val="BodyText"/>
        <w:spacing w:before="240"/>
      </w:pPr>
      <w:r w:rsidRPr="006A2B4C">
        <w:t>The efficiency and effectiveness of service is measured by the evaluation of:</w:t>
      </w:r>
    </w:p>
    <w:p w14:paraId="0A1A5F88" w14:textId="38F5A9E2" w:rsidR="00F116E3" w:rsidRPr="003023FA" w:rsidRDefault="00E1371D" w:rsidP="003023FA">
      <w:pPr>
        <w:pStyle w:val="Bullets1"/>
      </w:pPr>
      <w:r w:rsidRPr="003023FA">
        <w:t>s</w:t>
      </w:r>
      <w:r w:rsidR="00F116E3" w:rsidRPr="003023FA">
        <w:t xml:space="preserve">upporting parents to create a safe, stable, nurturing family </w:t>
      </w:r>
      <w:r w:rsidR="00DC3E9B" w:rsidRPr="003023FA">
        <w:t>environment</w:t>
      </w:r>
    </w:p>
    <w:p w14:paraId="30CF99E8" w14:textId="1FC2B0D9" w:rsidR="00F116E3" w:rsidRPr="003023FA" w:rsidRDefault="00E1371D" w:rsidP="003023FA">
      <w:pPr>
        <w:pStyle w:val="Bullets1"/>
      </w:pPr>
      <w:r w:rsidRPr="003023FA">
        <w:t>i</w:t>
      </w:r>
      <w:r w:rsidR="00F116E3" w:rsidRPr="003023FA">
        <w:t>mproving children’s wellbeing</w:t>
      </w:r>
    </w:p>
    <w:p w14:paraId="27502749" w14:textId="4F0723BB" w:rsidR="00F116E3" w:rsidRPr="003023FA" w:rsidRDefault="00E1371D" w:rsidP="003023FA">
      <w:pPr>
        <w:pStyle w:val="Bullets1"/>
      </w:pPr>
      <w:r w:rsidRPr="003023FA">
        <w:t>i</w:t>
      </w:r>
      <w:r w:rsidR="00F116E3" w:rsidRPr="003023FA">
        <w:t>mproving parenting skills and capacity, family functioning and relationships in a sustainable way</w:t>
      </w:r>
    </w:p>
    <w:p w14:paraId="12953299" w14:textId="12F9E7C2" w:rsidR="003B0F72" w:rsidRPr="003023FA" w:rsidRDefault="00E1371D" w:rsidP="003023FA">
      <w:pPr>
        <w:pStyle w:val="Bullets1"/>
      </w:pPr>
      <w:r w:rsidRPr="003023FA">
        <w:t>p</w:t>
      </w:r>
      <w:r w:rsidR="00F116E3" w:rsidRPr="003023FA">
        <w:t>reventing children from entering care unnecessarily and assisting with restorations.</w:t>
      </w:r>
    </w:p>
    <w:p w14:paraId="33C731F8" w14:textId="21B4FE2F" w:rsidR="008B3B03" w:rsidRPr="006A2B4C" w:rsidRDefault="008B3B03" w:rsidP="00F7682F">
      <w:pPr>
        <w:pStyle w:val="Heading3"/>
      </w:pPr>
      <w:bookmarkStart w:id="24" w:name="_Toc145935872"/>
      <w:bookmarkStart w:id="25" w:name="_Toc149817446"/>
      <w:bookmarkEnd w:id="23"/>
      <w:r w:rsidRPr="006A2B4C">
        <w:t>C</w:t>
      </w:r>
      <w:r w:rsidR="000A9F27" w:rsidRPr="006A2B4C">
        <w:t xml:space="preserve">hild and </w:t>
      </w:r>
      <w:r w:rsidR="008B523D">
        <w:t>f</w:t>
      </w:r>
      <w:r w:rsidR="65796AA5" w:rsidRPr="006A2B4C">
        <w:t xml:space="preserve">amily </w:t>
      </w:r>
      <w:r w:rsidR="008B523D">
        <w:t>s</w:t>
      </w:r>
      <w:r w:rsidR="32997B64" w:rsidRPr="00237BF8">
        <w:t>upport</w:t>
      </w:r>
      <w:r w:rsidR="32997B64" w:rsidRPr="006A2B4C">
        <w:t xml:space="preserve"> </w:t>
      </w:r>
      <w:r w:rsidR="008B523D">
        <w:t>s</w:t>
      </w:r>
      <w:r w:rsidR="7BB9FFB5" w:rsidRPr="006A2B4C">
        <w:t>ystem</w:t>
      </w:r>
      <w:r w:rsidRPr="006A2B4C">
        <w:t xml:space="preserve"> </w:t>
      </w:r>
      <w:r w:rsidR="008B523D">
        <w:t>c</w:t>
      </w:r>
      <w:r w:rsidRPr="006A2B4C">
        <w:t>ontext</w:t>
      </w:r>
      <w:bookmarkEnd w:id="24"/>
      <w:bookmarkEnd w:id="25"/>
    </w:p>
    <w:p w14:paraId="5884F09D" w14:textId="20366E13" w:rsidR="000B449B" w:rsidRPr="00963AA1" w:rsidRDefault="000B449B" w:rsidP="00347B0E">
      <w:pPr>
        <w:pStyle w:val="BodyText"/>
      </w:pPr>
      <w:r w:rsidRPr="00963AA1">
        <w:t xml:space="preserve">In recent years, </w:t>
      </w:r>
      <w:r w:rsidR="00347B0E">
        <w:t xml:space="preserve">Department of Human Services (DHS) </w:t>
      </w:r>
      <w:r w:rsidRPr="00963AA1">
        <w:t>has been working closely with government and non</w:t>
      </w:r>
      <w:r w:rsidR="006D1D4D">
        <w:t>-</w:t>
      </w:r>
      <w:r w:rsidRPr="00963AA1">
        <w:t xml:space="preserve">government partners to collaboratively grow a new Child and Family Support System </w:t>
      </w:r>
      <w:r w:rsidR="262A5AE4" w:rsidRPr="00963AA1">
        <w:t xml:space="preserve">(CFSS) </w:t>
      </w:r>
      <w:r w:rsidRPr="00963AA1">
        <w:t xml:space="preserve">that is able to work with families earlier to prevent harm to children, family vulnerability and trauma. </w:t>
      </w:r>
    </w:p>
    <w:p w14:paraId="607F145B" w14:textId="7EED8479" w:rsidR="5F70397A" w:rsidRPr="00963AA1" w:rsidRDefault="000B449B" w:rsidP="008B6A67">
      <w:pPr>
        <w:pStyle w:val="BodyText"/>
      </w:pPr>
      <w:r w:rsidRPr="00963AA1">
        <w:t xml:space="preserve">The reform of the </w:t>
      </w:r>
      <w:r w:rsidR="3B6C7EF9" w:rsidRPr="00963AA1">
        <w:t>CFSS</w:t>
      </w:r>
      <w:r w:rsidRPr="00963AA1">
        <w:t xml:space="preserve"> is a key element of the whole</w:t>
      </w:r>
      <w:r w:rsidR="006D1D4D">
        <w:t>-</w:t>
      </w:r>
      <w:r w:rsidRPr="00963AA1">
        <w:t>of</w:t>
      </w:r>
      <w:r w:rsidR="006D1D4D">
        <w:t>-</w:t>
      </w:r>
      <w:r w:rsidRPr="00963AA1">
        <w:t>government reform of the state’s child protection system</w:t>
      </w:r>
      <w:r w:rsidR="00650FC3">
        <w:t xml:space="preserve"> </w:t>
      </w:r>
      <w:r w:rsidR="00837447">
        <w:t xml:space="preserve">– </w:t>
      </w:r>
      <w:r w:rsidRPr="00650FC3">
        <w:rPr>
          <w:i/>
          <w:iCs/>
        </w:rPr>
        <w:t xml:space="preserve">Safe and </w:t>
      </w:r>
      <w:r w:rsidR="003A6244" w:rsidRPr="00650FC3">
        <w:rPr>
          <w:i/>
          <w:iCs/>
        </w:rPr>
        <w:t>w</w:t>
      </w:r>
      <w:r w:rsidRPr="00650FC3">
        <w:rPr>
          <w:i/>
          <w:iCs/>
        </w:rPr>
        <w:t xml:space="preserve">ell: </w:t>
      </w:r>
      <w:r w:rsidR="00650FC3" w:rsidRPr="00650FC3">
        <w:rPr>
          <w:i/>
          <w:iCs/>
        </w:rPr>
        <w:t>supporting families protecting children</w:t>
      </w:r>
      <w:r w:rsidR="00837447">
        <w:rPr>
          <w:i/>
          <w:iCs/>
        </w:rPr>
        <w:t xml:space="preserve"> –</w:t>
      </w:r>
      <w:r w:rsidR="00650FC3">
        <w:t>a</w:t>
      </w:r>
      <w:r w:rsidR="66CA3A18" w:rsidRPr="00963AA1">
        <w:t xml:space="preserve">nd aligns </w:t>
      </w:r>
      <w:r w:rsidR="0648D9F4" w:rsidRPr="00963AA1">
        <w:t xml:space="preserve">with the </w:t>
      </w:r>
      <w:r w:rsidR="008B6A67">
        <w:t xml:space="preserve">Department for Child Protection </w:t>
      </w:r>
      <w:r w:rsidR="0648D9F4" w:rsidRPr="00963AA1">
        <w:t>Strategic Plan 2022</w:t>
      </w:r>
      <w:r w:rsidR="008B6A67">
        <w:t>–</w:t>
      </w:r>
      <w:r w:rsidR="0648D9F4" w:rsidRPr="00963AA1">
        <w:t>2026</w:t>
      </w:r>
      <w:r w:rsidR="4076496F" w:rsidRPr="00963AA1">
        <w:t xml:space="preserve"> (</w:t>
      </w:r>
      <w:r w:rsidR="00E433F7">
        <w:t>‘</w:t>
      </w:r>
      <w:r w:rsidR="4076496F" w:rsidRPr="00963AA1">
        <w:t>the Plan</w:t>
      </w:r>
      <w:r w:rsidR="00E433F7">
        <w:t>’</w:t>
      </w:r>
      <w:r w:rsidR="4076496F" w:rsidRPr="00963AA1">
        <w:t>)</w:t>
      </w:r>
      <w:r w:rsidR="0648D9F4" w:rsidRPr="00963AA1">
        <w:t>.</w:t>
      </w:r>
      <w:r w:rsidR="00043453" w:rsidRPr="00963AA1">
        <w:t xml:space="preserve"> </w:t>
      </w:r>
      <w:r w:rsidR="4F084F92" w:rsidRPr="00963AA1">
        <w:t xml:space="preserve">The </w:t>
      </w:r>
      <w:r w:rsidR="00B27B76" w:rsidRPr="00B27B76">
        <w:t>Resilient Families</w:t>
      </w:r>
      <w:r w:rsidR="00B27B76">
        <w:t xml:space="preserve"> </w:t>
      </w:r>
      <w:r w:rsidR="4F084F92" w:rsidRPr="00963AA1">
        <w:t>program</w:t>
      </w:r>
      <w:r w:rsidR="4819FAAA" w:rsidRPr="00963AA1">
        <w:t xml:space="preserve"> directly aligns to </w:t>
      </w:r>
      <w:r w:rsidR="075D8C5D" w:rsidRPr="00963AA1">
        <w:t xml:space="preserve">one of </w:t>
      </w:r>
      <w:r w:rsidR="4819FAAA" w:rsidRPr="00963AA1">
        <w:t xml:space="preserve">the </w:t>
      </w:r>
      <w:r w:rsidR="1AC80FB3" w:rsidRPr="00963AA1">
        <w:t xml:space="preserve">core </w:t>
      </w:r>
      <w:r w:rsidR="06EAD4B6" w:rsidRPr="00963AA1">
        <w:t>prioritie</w:t>
      </w:r>
      <w:r w:rsidR="1AC80FB3" w:rsidRPr="00963AA1">
        <w:t>s of the Plan</w:t>
      </w:r>
      <w:r w:rsidR="00C06658" w:rsidRPr="00963AA1">
        <w:t>—</w:t>
      </w:r>
      <w:r w:rsidR="11097D1C" w:rsidRPr="00963AA1">
        <w:t>Active and Collaborative Partnerships</w:t>
      </w:r>
      <w:r w:rsidR="040FB896" w:rsidRPr="00963AA1">
        <w:t>:</w:t>
      </w:r>
      <w:r w:rsidR="11097D1C" w:rsidRPr="00963AA1">
        <w:t xml:space="preserve"> We work together with our service partners and alongside the community to improve outcomes for childre</w:t>
      </w:r>
      <w:r w:rsidR="1318BF3A" w:rsidRPr="00963AA1">
        <w:t>n</w:t>
      </w:r>
      <w:r w:rsidR="11097D1C" w:rsidRPr="00963AA1">
        <w:t xml:space="preserve">, young people, </w:t>
      </w:r>
      <w:r w:rsidR="00894972" w:rsidRPr="00963AA1">
        <w:t>carers,</w:t>
      </w:r>
      <w:r w:rsidR="11097D1C" w:rsidRPr="00963AA1">
        <w:t xml:space="preserve"> and families.</w:t>
      </w:r>
    </w:p>
    <w:p w14:paraId="6642CEB8" w14:textId="78BB1F08" w:rsidR="00AD2E05" w:rsidRPr="00D5119F" w:rsidRDefault="000B449B" w:rsidP="009E6CEB">
      <w:pPr>
        <w:pStyle w:val="BodyText"/>
      </w:pPr>
      <w:r w:rsidRPr="00D5119F">
        <w:t xml:space="preserve">The DHS </w:t>
      </w:r>
      <w:hyperlink r:id="rId18" w:history="1">
        <w:r w:rsidRPr="00D5119F">
          <w:t>Roadmap for reforming the Child and Family Support System 2021</w:t>
        </w:r>
        <w:r w:rsidR="00C06658" w:rsidRPr="00D5119F">
          <w:t xml:space="preserve"> to </w:t>
        </w:r>
        <w:r w:rsidRPr="00D5119F">
          <w:t>2023</w:t>
        </w:r>
      </w:hyperlink>
      <w:r w:rsidRPr="00D5119F">
        <w:t xml:space="preserve"> outlines the</w:t>
      </w:r>
      <w:r w:rsidR="008E6706" w:rsidRPr="00D5119F">
        <w:t xml:space="preserve"> </w:t>
      </w:r>
      <w:r w:rsidRPr="00D5119F">
        <w:t>steps to improve early intervention services for children and families with</w:t>
      </w:r>
      <w:r w:rsidR="00B663E1" w:rsidRPr="00D5119F">
        <w:t xml:space="preserve"> </w:t>
      </w:r>
      <w:r w:rsidRPr="00D5119F">
        <w:t xml:space="preserve">complex needs. The </w:t>
      </w:r>
      <w:r w:rsidR="00CC5233" w:rsidRPr="00963AA1">
        <w:t>CFSS</w:t>
      </w:r>
      <w:r w:rsidRPr="00D5119F">
        <w:t xml:space="preserve"> is made up of a range of services and programs delivered by government and non</w:t>
      </w:r>
      <w:r w:rsidR="006D1D4D">
        <w:t>-</w:t>
      </w:r>
      <w:r w:rsidRPr="00D5119F">
        <w:t xml:space="preserve">government organisations. These services are able to respond to different degrees of complexity and safety concerns of children and families. These services span from community capacity building through to intensive case management. </w:t>
      </w:r>
    </w:p>
    <w:p w14:paraId="2C016201" w14:textId="1E3332A7" w:rsidR="000B449B" w:rsidRPr="00963AA1" w:rsidRDefault="000B449B" w:rsidP="009E6CEB">
      <w:pPr>
        <w:pStyle w:val="BodyText"/>
      </w:pPr>
      <w:r w:rsidRPr="00963AA1">
        <w:t xml:space="preserve">Within the </w:t>
      </w:r>
      <w:r w:rsidR="00CC5233" w:rsidRPr="00963AA1">
        <w:t>CFSS</w:t>
      </w:r>
      <w:r w:rsidRPr="00963AA1">
        <w:t>, DHS funds and delivers three tiers of family preservation programs that have varying degrees of intensity:</w:t>
      </w:r>
    </w:p>
    <w:p w14:paraId="4C198F30" w14:textId="3BAFBEB6" w:rsidR="000B449B" w:rsidRPr="003023FA" w:rsidRDefault="000B449B" w:rsidP="003023FA">
      <w:pPr>
        <w:pStyle w:val="Bullets1"/>
      </w:pPr>
      <w:r w:rsidRPr="003023FA">
        <w:t>Tier 1: Out</w:t>
      </w:r>
      <w:r w:rsidR="005D54F5">
        <w:t>-</w:t>
      </w:r>
      <w:r w:rsidRPr="003023FA">
        <w:t>of</w:t>
      </w:r>
      <w:r w:rsidR="005D54F5">
        <w:t>-</w:t>
      </w:r>
      <w:r w:rsidRPr="003023FA">
        <w:t>home care prevention programs and disrupting intergenerational disadvantage</w:t>
      </w:r>
    </w:p>
    <w:p w14:paraId="0B970194" w14:textId="06859B9B" w:rsidR="000B449B" w:rsidRPr="003023FA" w:rsidRDefault="000B449B" w:rsidP="003023FA">
      <w:pPr>
        <w:pStyle w:val="Bullets1"/>
      </w:pPr>
      <w:r w:rsidRPr="003023FA">
        <w:t>Tier 2: Intensive family services</w:t>
      </w:r>
    </w:p>
    <w:p w14:paraId="3B2435C6" w14:textId="49B60250" w:rsidR="000B449B" w:rsidRPr="003023FA" w:rsidRDefault="000B449B" w:rsidP="003023FA">
      <w:pPr>
        <w:pStyle w:val="Bullets1"/>
      </w:pPr>
      <w:r w:rsidRPr="003023FA">
        <w:t>Tier 3: Family support services</w:t>
      </w:r>
      <w:r w:rsidR="00DC3E9B" w:rsidRPr="003023FA">
        <w:t>.</w:t>
      </w:r>
    </w:p>
    <w:p w14:paraId="55CC1AD2" w14:textId="285DF89B" w:rsidR="008B3B03" w:rsidRPr="00963AA1" w:rsidRDefault="00510FC5" w:rsidP="009E6CEB">
      <w:pPr>
        <w:pStyle w:val="BodyText"/>
      </w:pPr>
      <w:r>
        <w:lastRenderedPageBreak/>
        <w:t xml:space="preserve">This service system is depicted in </w:t>
      </w:r>
      <w:r w:rsidRPr="006C27C8">
        <w:rPr>
          <w:i/>
          <w:iCs/>
        </w:rPr>
        <w:t>Figure 2: Child and Family Support System Overview</w:t>
      </w:r>
      <w:r>
        <w:t xml:space="preserve">. </w:t>
      </w:r>
      <w:r w:rsidR="009515E2" w:rsidRPr="009515E2">
        <w:t>Resilient Families</w:t>
      </w:r>
      <w:r w:rsidR="009515E2">
        <w:t xml:space="preserve"> </w:t>
      </w:r>
      <w:r w:rsidR="000B449B" w:rsidRPr="00963AA1">
        <w:t>sits within Tier 1 on this spectrum and works with families at imminent risk of having their children placed in care.</w:t>
      </w:r>
    </w:p>
    <w:p w14:paraId="2C9C9049" w14:textId="29B5FE80" w:rsidR="00333B0B" w:rsidRDefault="00333B0B" w:rsidP="00893461">
      <w:pPr>
        <w:pStyle w:val="Caption"/>
      </w:pPr>
      <w:r>
        <w:t xml:space="preserve">Figure </w:t>
      </w:r>
      <w:r w:rsidR="006C1357">
        <w:fldChar w:fldCharType="begin"/>
      </w:r>
      <w:r w:rsidR="006C1357">
        <w:instrText xml:space="preserve"> SEQ Figure \* ARABIC </w:instrText>
      </w:r>
      <w:r w:rsidR="006C1357">
        <w:fldChar w:fldCharType="separate"/>
      </w:r>
      <w:r w:rsidR="005B408C">
        <w:rPr>
          <w:noProof/>
        </w:rPr>
        <w:t>2</w:t>
      </w:r>
      <w:r w:rsidR="006C1357">
        <w:rPr>
          <w:noProof/>
        </w:rPr>
        <w:fldChar w:fldCharType="end"/>
      </w:r>
      <w:r>
        <w:t xml:space="preserve"> Child and Family Support System Overview</w:t>
      </w:r>
    </w:p>
    <w:p w14:paraId="1138013A" w14:textId="52D69CF2" w:rsidR="003F4364" w:rsidRDefault="000B449B" w:rsidP="003D3C42">
      <w:pPr>
        <w:pStyle w:val="BodyText"/>
      </w:pPr>
      <w:r w:rsidRPr="006A2B4C">
        <w:rPr>
          <w:noProof/>
        </w:rPr>
        <w:drawing>
          <wp:inline distT="0" distB="0" distL="0" distR="0" wp14:anchorId="0A92C720" wp14:editId="07B8ECF6">
            <wp:extent cx="5673683" cy="2456836"/>
            <wp:effectExtent l="133350" t="114300" r="137160" b="172085"/>
            <wp:docPr id="14" name="Picture 14" descr="The Child and Family Support System overview diagram. There is a full description in the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 Child and Family Support System overview diagram. There is a full description in the appendi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8124" cy="24587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8137705" w14:textId="5D221D11" w:rsidR="00333B0B" w:rsidRPr="00963AA1" w:rsidRDefault="00000000" w:rsidP="00333B0B">
      <w:pPr>
        <w:pStyle w:val="BodyText"/>
      </w:pPr>
      <w:hyperlink w:anchor="_Figure_2_plain" w:history="1">
        <w:r w:rsidR="00333B0B">
          <w:rPr>
            <w:rStyle w:val="Hyperlink"/>
          </w:rPr>
          <w:t>Plain text description of Figure 2</w:t>
        </w:r>
      </w:hyperlink>
    </w:p>
    <w:p w14:paraId="1E19C725" w14:textId="77777777" w:rsidR="00DE7A03" w:rsidRPr="00963AA1" w:rsidRDefault="00DE7A03" w:rsidP="00DE7A03">
      <w:pPr>
        <w:pStyle w:val="BodyText"/>
      </w:pPr>
      <w:bookmarkStart w:id="26" w:name="_Child_protection_and"/>
      <w:bookmarkStart w:id="27" w:name="_Toc145935873"/>
      <w:bookmarkEnd w:id="26"/>
      <w:r w:rsidRPr="00963AA1">
        <w:t xml:space="preserve">Children, young people, and families face varying levels of complexity, which changes at different stages throughout the life course of a child, young person, or family. Services within CFSS sit across a spectrum of complex needs and safety risks experienced by children, young people, and families. A child, young person, or family can move across the continuum as their circumstances change to receive the right service at the right time to address their needs. </w:t>
      </w:r>
    </w:p>
    <w:p w14:paraId="7358A845" w14:textId="05734608" w:rsidR="002D758E" w:rsidRPr="006A2B4C" w:rsidRDefault="36EB9EDB" w:rsidP="00333B0B">
      <w:pPr>
        <w:pStyle w:val="Heading4"/>
        <w:keepLines w:val="0"/>
      </w:pPr>
      <w:r w:rsidRPr="006A2B4C">
        <w:t>Child protection</w:t>
      </w:r>
      <w:r w:rsidR="510F5B7A" w:rsidRPr="006A2B4C">
        <w:t xml:space="preserve"> </w:t>
      </w:r>
      <w:r w:rsidR="000B449B" w:rsidRPr="006A2B4C">
        <w:t xml:space="preserve">and support services </w:t>
      </w:r>
      <w:r w:rsidR="510F5B7A" w:rsidRPr="006A2B4C">
        <w:t>reviews and findings</w:t>
      </w:r>
      <w:bookmarkEnd w:id="27"/>
      <w:r w:rsidR="510F5B7A" w:rsidRPr="006A2B4C">
        <w:t xml:space="preserve"> </w:t>
      </w:r>
    </w:p>
    <w:p w14:paraId="557BCC50" w14:textId="058EA0D7" w:rsidR="00A925A6" w:rsidRDefault="000B449B" w:rsidP="00333B0B">
      <w:pPr>
        <w:pStyle w:val="BodyText"/>
        <w:keepLines w:val="0"/>
      </w:pPr>
      <w:r w:rsidRPr="00963AA1">
        <w:t>Our child protection and family support services exist to protect the most vulnerable members of our community and are subject to regular internal and external reviews</w:t>
      </w:r>
      <w:r w:rsidR="39F3E2BB" w:rsidRPr="00963AA1">
        <w:t xml:space="preserve">. </w:t>
      </w:r>
      <w:r w:rsidR="3CCCFA1F" w:rsidRPr="00963AA1">
        <w:t xml:space="preserve"> Of particular note, the</w:t>
      </w:r>
      <w:r w:rsidR="154A35B0" w:rsidRPr="00963AA1">
        <w:t xml:space="preserve"> ‘Trust in Culture’ report by Kate Alexander, and </w:t>
      </w:r>
      <w:r w:rsidR="074C3953" w:rsidRPr="00963AA1">
        <w:t xml:space="preserve">the review by </w:t>
      </w:r>
      <w:r w:rsidR="18766455" w:rsidRPr="00963AA1">
        <w:t>former Police Commissioner Mal Hyde, both presented in 2022,</w:t>
      </w:r>
      <w:r w:rsidR="3CCCFA1F" w:rsidRPr="00963AA1">
        <w:t xml:space="preserve"> identified the need for strengthened multi</w:t>
      </w:r>
      <w:r w:rsidR="006D1D4D">
        <w:t>-</w:t>
      </w:r>
      <w:r w:rsidR="3CCCFA1F" w:rsidRPr="00963AA1">
        <w:t>agency</w:t>
      </w:r>
      <w:r w:rsidR="27979609" w:rsidRPr="00963AA1">
        <w:t>, earlier intervention approaches</w:t>
      </w:r>
      <w:r w:rsidR="00F6751C" w:rsidRPr="00963AA1">
        <w:t xml:space="preserve"> when responding to safety concerns for children, young people and families</w:t>
      </w:r>
      <w:r w:rsidR="3270D054" w:rsidRPr="00963AA1">
        <w:t xml:space="preserve">. </w:t>
      </w:r>
      <w:r w:rsidR="000333B1" w:rsidRPr="000333B1">
        <w:t>The Benevolent Society</w:t>
      </w:r>
      <w:r w:rsidR="000333B1">
        <w:t xml:space="preserve"> </w:t>
      </w:r>
      <w:r w:rsidR="3270D054" w:rsidRPr="00963AA1">
        <w:t xml:space="preserve">works closely with </w:t>
      </w:r>
      <w:r w:rsidR="000333B1" w:rsidRPr="000333B1">
        <w:t xml:space="preserve">Department for Child Protection </w:t>
      </w:r>
      <w:r w:rsidR="3270D054" w:rsidRPr="00963AA1">
        <w:t xml:space="preserve">to </w:t>
      </w:r>
      <w:r w:rsidR="282C2D23" w:rsidRPr="00963AA1">
        <w:t xml:space="preserve">identify families appropriate for </w:t>
      </w:r>
      <w:r w:rsidR="009515E2" w:rsidRPr="009515E2">
        <w:t>Resilient Families</w:t>
      </w:r>
      <w:r w:rsidR="009515E2">
        <w:t xml:space="preserve"> </w:t>
      </w:r>
      <w:r w:rsidR="282C2D23" w:rsidRPr="00963AA1">
        <w:t xml:space="preserve">intervention and to engage the family </w:t>
      </w:r>
      <w:r w:rsidR="3E39C82F" w:rsidRPr="00963AA1">
        <w:t>into</w:t>
      </w:r>
      <w:r w:rsidR="282C2D23" w:rsidRPr="00963AA1">
        <w:t xml:space="preserve"> the program</w:t>
      </w:r>
      <w:r w:rsidR="00BF535A" w:rsidRPr="00963AA1">
        <w:t>.</w:t>
      </w:r>
      <w:r w:rsidR="282C2D23" w:rsidRPr="00963AA1">
        <w:t xml:space="preserve"> </w:t>
      </w:r>
      <w:r w:rsidR="6805FEC1" w:rsidRPr="00963AA1">
        <w:t>T</w:t>
      </w:r>
      <w:r w:rsidR="282C2D23" w:rsidRPr="00963AA1">
        <w:t xml:space="preserve">heir </w:t>
      </w:r>
      <w:r w:rsidR="5586D3B6" w:rsidRPr="00963AA1">
        <w:t xml:space="preserve">contributions to epidemiological data continue to inform the evaluation of </w:t>
      </w:r>
      <w:r w:rsidR="35F69D76" w:rsidRPr="00963AA1">
        <w:t>the CFSS.</w:t>
      </w:r>
    </w:p>
    <w:p w14:paraId="58F98B33" w14:textId="583FD633" w:rsidR="00FE5794" w:rsidRPr="006A2B4C" w:rsidRDefault="00FE5794" w:rsidP="00F7682F">
      <w:pPr>
        <w:pStyle w:val="Heading3"/>
      </w:pPr>
      <w:bookmarkStart w:id="28" w:name="_Toc145935874"/>
      <w:bookmarkStart w:id="29" w:name="_Toc149817447"/>
      <w:r w:rsidRPr="006A2B4C">
        <w:lastRenderedPageBreak/>
        <w:t xml:space="preserve">Program </w:t>
      </w:r>
      <w:r w:rsidR="00345962">
        <w:t>d</w:t>
      </w:r>
      <w:r w:rsidRPr="006A2B4C">
        <w:t xml:space="preserve">evelopment and </w:t>
      </w:r>
      <w:r w:rsidR="00345962">
        <w:t>l</w:t>
      </w:r>
      <w:r w:rsidRPr="006A2B4C">
        <w:t>earnings</w:t>
      </w:r>
      <w:bookmarkStart w:id="30" w:name="_Toc107931721"/>
      <w:bookmarkEnd w:id="28"/>
      <w:bookmarkEnd w:id="29"/>
      <w:r w:rsidRPr="006A2B4C">
        <w:t xml:space="preserve"> </w:t>
      </w:r>
      <w:bookmarkEnd w:id="30"/>
    </w:p>
    <w:p w14:paraId="0B95276C" w14:textId="6C23AFC0" w:rsidR="00286D9C" w:rsidRPr="006A2B4C" w:rsidRDefault="00286D9C" w:rsidP="00F7682F">
      <w:pPr>
        <w:pStyle w:val="Heading4"/>
      </w:pPr>
      <w:bookmarkStart w:id="31" w:name="_Toc145935875"/>
      <w:r w:rsidRPr="006A2B4C">
        <w:t>Governance</w:t>
      </w:r>
      <w:bookmarkEnd w:id="31"/>
    </w:p>
    <w:p w14:paraId="37E4EFBD" w14:textId="57A65BF0" w:rsidR="00642EC1" w:rsidRPr="00963AA1" w:rsidRDefault="00642EC1" w:rsidP="009E6CEB">
      <w:pPr>
        <w:pStyle w:val="BodyText"/>
      </w:pPr>
      <w:r w:rsidRPr="00963AA1">
        <w:t xml:space="preserve">Two governance groups support the implementation of </w:t>
      </w:r>
      <w:r w:rsidR="001B4ABA" w:rsidRPr="001B4ABA">
        <w:t>Resilient Families</w:t>
      </w:r>
      <w:r w:rsidR="001B4ABA">
        <w:t xml:space="preserve"> (</w:t>
      </w:r>
      <w:r w:rsidRPr="00963AA1">
        <w:t>RF</w:t>
      </w:r>
      <w:r w:rsidR="001B4ABA">
        <w:t>)</w:t>
      </w:r>
      <w:r w:rsidRPr="00963AA1">
        <w:t xml:space="preserve">: </w:t>
      </w:r>
    </w:p>
    <w:p w14:paraId="64CDF2E9" w14:textId="39115B1B" w:rsidR="00642EC1" w:rsidRPr="003023FA" w:rsidRDefault="00642EC1" w:rsidP="003023FA">
      <w:pPr>
        <w:pStyle w:val="Bullets1"/>
      </w:pPr>
      <w:r w:rsidRPr="003023FA">
        <w:t xml:space="preserve">The Resilient Families Operational Group includes </w:t>
      </w:r>
      <w:r w:rsidR="001B4ABA" w:rsidRPr="001B4ABA">
        <w:t>The Benevolent Society (TBS)</w:t>
      </w:r>
      <w:r w:rsidRPr="003023FA">
        <w:t xml:space="preserve">, </w:t>
      </w:r>
      <w:r w:rsidR="001B4ABA" w:rsidRPr="001B4ABA">
        <w:t>Department for Child Protection (DCP)</w:t>
      </w:r>
      <w:r w:rsidR="001B4ABA">
        <w:t xml:space="preserve"> </w:t>
      </w:r>
      <w:r w:rsidRPr="003023FA">
        <w:t xml:space="preserve">and </w:t>
      </w:r>
      <w:r w:rsidR="001B4ABA" w:rsidRPr="001B4ABA">
        <w:t>Department of Human Services (DHS)</w:t>
      </w:r>
      <w:r w:rsidR="001B4ABA">
        <w:t xml:space="preserve"> </w:t>
      </w:r>
      <w:r w:rsidRPr="003023FA">
        <w:t>leaders directly involved in the referral process and program management activities. The operational group meets monthly to discuss and resolve initial issues and risks in a timely manner.</w:t>
      </w:r>
    </w:p>
    <w:p w14:paraId="4BECB8E6" w14:textId="2F52A7A1" w:rsidR="00642EC1" w:rsidRPr="003023FA" w:rsidRDefault="00642EC1" w:rsidP="003023FA">
      <w:pPr>
        <w:pStyle w:val="Bullets1"/>
      </w:pPr>
      <w:r w:rsidRPr="003023FA">
        <w:t>The Resilient Families Joint Working Group comprises executive leadership across all program partners (TBS, DCP, DHS, Department of Treasury and Finance, Commonwealth Department of Social Services</w:t>
      </w:r>
      <w:r w:rsidR="009D234F">
        <w:t xml:space="preserve"> (DSS)</w:t>
      </w:r>
      <w:r w:rsidR="003B7CEF">
        <w:t>)</w:t>
      </w:r>
      <w:r w:rsidRPr="003023FA">
        <w:t xml:space="preserve">, to consider the progress of the program from a strategic lens. This group considers challenges and potential solutions to the referral process, as well as opportunities for connection with other </w:t>
      </w:r>
      <w:r w:rsidR="0086341E" w:rsidRPr="00963AA1">
        <w:t xml:space="preserve">Child and Family Support System </w:t>
      </w:r>
      <w:r w:rsidRPr="003023FA">
        <w:t xml:space="preserve">reform activities and DSS-led initiatives. </w:t>
      </w:r>
      <w:r w:rsidR="004211C1" w:rsidRPr="003023FA">
        <w:t xml:space="preserve">As the program has </w:t>
      </w:r>
      <w:r w:rsidR="00711890" w:rsidRPr="003023FA">
        <w:t xml:space="preserve">settled, </w:t>
      </w:r>
      <w:r w:rsidR="00662E06" w:rsidRPr="003023FA">
        <w:t>this group now meets quarterly to review the activities of the previous period</w:t>
      </w:r>
      <w:r w:rsidR="00CA3444" w:rsidRPr="003023FA">
        <w:t>.</w:t>
      </w:r>
    </w:p>
    <w:p w14:paraId="58908361" w14:textId="680BE8D0" w:rsidR="00CA3444" w:rsidRPr="006A2B4C" w:rsidRDefault="00CA3444" w:rsidP="00F7682F">
      <w:pPr>
        <w:pStyle w:val="Heading4"/>
      </w:pPr>
      <w:bookmarkStart w:id="32" w:name="_Toc145935876"/>
      <w:r w:rsidRPr="006A2B4C">
        <w:t>Referral partnerships</w:t>
      </w:r>
      <w:bookmarkEnd w:id="32"/>
    </w:p>
    <w:p w14:paraId="27B3AF19" w14:textId="05913233" w:rsidR="005F2C20" w:rsidRPr="00963AA1" w:rsidRDefault="005F2C20" w:rsidP="00B63AE6">
      <w:pPr>
        <w:pStyle w:val="BodyText"/>
      </w:pPr>
      <w:r w:rsidRPr="00963AA1">
        <w:t xml:space="preserve">DCP Murray Bridge accommodated </w:t>
      </w:r>
      <w:r w:rsidR="00B63AE6">
        <w:t xml:space="preserve">The Benevolent Society </w:t>
      </w:r>
      <w:r w:rsidRPr="00963AA1">
        <w:t>RF worker for several months whilst building works were completed. This allowed services to commence for families in the Murray Bridge area and rapidly developed the relationship with the local team to understand the RF program and service options to complement support provided.</w:t>
      </w:r>
    </w:p>
    <w:p w14:paraId="1DAC7515" w14:textId="0CA751E0" w:rsidR="002532D7" w:rsidRPr="00963AA1" w:rsidRDefault="002532D7" w:rsidP="009E6CEB">
      <w:pPr>
        <w:pStyle w:val="BodyText"/>
      </w:pPr>
      <w:r w:rsidRPr="00963AA1">
        <w:t xml:space="preserve">Relationships between TBS and DCP staff continue to grow, with </w:t>
      </w:r>
      <w:r w:rsidR="4435F768" w:rsidRPr="00963AA1">
        <w:t xml:space="preserve">a </w:t>
      </w:r>
      <w:r w:rsidRPr="00963AA1">
        <w:t>deeper understanding of the Resilient Families service model, and demonstration of appreciation for the work being undertaken.</w:t>
      </w:r>
    </w:p>
    <w:p w14:paraId="369A6F69" w14:textId="353642DD" w:rsidR="002532D7" w:rsidRPr="00963AA1" w:rsidRDefault="002532D7" w:rsidP="009E6CEB">
      <w:pPr>
        <w:pStyle w:val="BodyText"/>
      </w:pPr>
      <w:r w:rsidRPr="00963AA1">
        <w:t xml:space="preserve">TBS and DCP have increased their communication about potential capacity, with TBS informing the </w:t>
      </w:r>
      <w:r w:rsidR="2F48BBC9" w:rsidRPr="00963AA1">
        <w:t xml:space="preserve">DCP </w:t>
      </w:r>
      <w:r w:rsidR="009F2ECE" w:rsidRPr="00963AA1">
        <w:t>p</w:t>
      </w:r>
      <w:r w:rsidRPr="00963AA1">
        <w:t xml:space="preserve">rogram </w:t>
      </w:r>
      <w:r w:rsidR="009F2ECE" w:rsidRPr="00963AA1">
        <w:t>m</w:t>
      </w:r>
      <w:r w:rsidRPr="00963AA1">
        <w:t>anager about expected opportunities for referrals prior to a formal request. This allows for greater planning time at each DCP office to identify appropriate families and undertake the necessary investigation activities, or consider alternate services if capacity is not available.</w:t>
      </w:r>
    </w:p>
    <w:p w14:paraId="5DB0D01B" w14:textId="3A86A65B" w:rsidR="002532D7" w:rsidRPr="00963AA1" w:rsidRDefault="002532D7" w:rsidP="009E6CEB">
      <w:pPr>
        <w:pStyle w:val="BodyText"/>
      </w:pPr>
      <w:r w:rsidRPr="00963AA1">
        <w:lastRenderedPageBreak/>
        <w:t xml:space="preserve">A review of </w:t>
      </w:r>
      <w:r w:rsidR="00337294" w:rsidRPr="00337294">
        <w:t xml:space="preserve">Department for Child Protection (DCP) </w:t>
      </w:r>
      <w:r w:rsidR="69E4707A" w:rsidRPr="00963AA1">
        <w:t xml:space="preserve">office </w:t>
      </w:r>
      <w:r w:rsidRPr="00963AA1">
        <w:t xml:space="preserve">boundaries and </w:t>
      </w:r>
      <w:r w:rsidR="5222BDBF" w:rsidRPr="00963AA1">
        <w:t xml:space="preserve">changes to some office structures to ensure a more consistent approach to the delivery of DCP child protection </w:t>
      </w:r>
      <w:r w:rsidR="3113B671" w:rsidRPr="00963AA1">
        <w:t>services across the state was successfully implemented in April 2023.</w:t>
      </w:r>
      <w:r w:rsidR="00043453" w:rsidRPr="00963AA1">
        <w:t xml:space="preserve"> </w:t>
      </w:r>
      <w:r w:rsidR="520FF903" w:rsidRPr="00963AA1">
        <w:t xml:space="preserve">The changes included an expansion of services for the </w:t>
      </w:r>
      <w:r w:rsidR="009F2ECE" w:rsidRPr="00963AA1">
        <w:t>i</w:t>
      </w:r>
      <w:r w:rsidR="520FF903" w:rsidRPr="00963AA1">
        <w:t xml:space="preserve">nner </w:t>
      </w:r>
      <w:r w:rsidR="009F2ECE" w:rsidRPr="00963AA1">
        <w:t>s</w:t>
      </w:r>
      <w:r w:rsidR="520FF903" w:rsidRPr="00963AA1">
        <w:t>outh office</w:t>
      </w:r>
      <w:r w:rsidR="117FE485" w:rsidRPr="00963AA1">
        <w:t xml:space="preserve"> who now offer the full range of DCP services</w:t>
      </w:r>
      <w:r w:rsidR="00571C68" w:rsidRPr="00963AA1">
        <w:t>,</w:t>
      </w:r>
      <w:r w:rsidR="117FE485" w:rsidRPr="00963AA1">
        <w:t xml:space="preserve"> including, investigation and assessment, family preservation, reunification and case management</w:t>
      </w:r>
      <w:r w:rsidR="00571C68" w:rsidRPr="00963AA1">
        <w:t>,</w:t>
      </w:r>
      <w:r w:rsidR="117FE485" w:rsidRPr="00963AA1">
        <w:t xml:space="preserve"> for children and young people under the guardianshi</w:t>
      </w:r>
      <w:r w:rsidR="3F66DE49" w:rsidRPr="00963AA1">
        <w:t xml:space="preserve">p of the </w:t>
      </w:r>
      <w:r w:rsidR="00571C68" w:rsidRPr="00963AA1">
        <w:t>c</w:t>
      </w:r>
      <w:r w:rsidR="3F66DE49" w:rsidRPr="00963AA1">
        <w:t xml:space="preserve">hief </w:t>
      </w:r>
      <w:r w:rsidR="00571C68" w:rsidRPr="00963AA1">
        <w:t>e</w:t>
      </w:r>
      <w:r w:rsidR="3F66DE49" w:rsidRPr="00963AA1">
        <w:t xml:space="preserve">xecutive. </w:t>
      </w:r>
      <w:r w:rsidR="308E9D16" w:rsidRPr="00963AA1">
        <w:t xml:space="preserve">Referrals from the </w:t>
      </w:r>
      <w:r w:rsidR="00571C68" w:rsidRPr="00963AA1">
        <w:t>i</w:t>
      </w:r>
      <w:r w:rsidR="308E9D16" w:rsidRPr="00963AA1">
        <w:t xml:space="preserve">nner </w:t>
      </w:r>
      <w:r w:rsidR="00571C68" w:rsidRPr="00963AA1">
        <w:t>s</w:t>
      </w:r>
      <w:r w:rsidR="308E9D16" w:rsidRPr="00963AA1">
        <w:t>outh office commenced from May 2023.</w:t>
      </w:r>
      <w:r w:rsidR="3F66DE49" w:rsidRPr="00963AA1">
        <w:t xml:space="preserve"> </w:t>
      </w:r>
    </w:p>
    <w:p w14:paraId="03675F91" w14:textId="041E8C54" w:rsidR="0074448D" w:rsidRPr="006A2B4C" w:rsidRDefault="0074448D" w:rsidP="00F7682F">
      <w:pPr>
        <w:pStyle w:val="Heading4"/>
      </w:pPr>
      <w:bookmarkStart w:id="33" w:name="_Toc145935877"/>
      <w:r w:rsidRPr="006A2B4C">
        <w:t xml:space="preserve">Brokerage </w:t>
      </w:r>
      <w:r w:rsidR="00A10F01">
        <w:t>s</w:t>
      </w:r>
      <w:r w:rsidRPr="000E0344">
        <w:t>upport</w:t>
      </w:r>
      <w:bookmarkEnd w:id="33"/>
    </w:p>
    <w:p w14:paraId="4C0A2567" w14:textId="5638E9E4" w:rsidR="00FD37ED" w:rsidRPr="00963AA1" w:rsidRDefault="00F673CA" w:rsidP="009E6CEB">
      <w:pPr>
        <w:pStyle w:val="BodyText"/>
      </w:pPr>
      <w:r w:rsidRPr="00963AA1">
        <w:t xml:space="preserve">The </w:t>
      </w:r>
      <w:r w:rsidR="00337294" w:rsidRPr="00337294">
        <w:t xml:space="preserve">Resilient Families (RF) </w:t>
      </w:r>
      <w:r w:rsidRPr="00963AA1">
        <w:t xml:space="preserve">Service Model provides </w:t>
      </w:r>
      <w:r w:rsidR="00E240BF" w:rsidRPr="00963AA1">
        <w:t xml:space="preserve">for </w:t>
      </w:r>
      <w:r w:rsidRPr="00963AA1">
        <w:t>a substantial amount of brokerage</w:t>
      </w:r>
      <w:r w:rsidR="00E240BF" w:rsidRPr="00963AA1">
        <w:t xml:space="preserve"> funding, which can be used to assist families throughout service provision. For many of the families in RF this has been used to </w:t>
      </w:r>
      <w:r w:rsidR="007D2C0F" w:rsidRPr="00963AA1">
        <w:t xml:space="preserve">provide waste removal and domestic cleaning support during service engagement, which has an immediate impact of the safety and wellbeing of the children. </w:t>
      </w:r>
      <w:r w:rsidR="00AA31A0" w:rsidRPr="00963AA1">
        <w:t xml:space="preserve">Practitioners have also been able to use brokerage funding to access assessments and health support for child and adult family members, especially to apply for </w:t>
      </w:r>
      <w:r w:rsidR="00E64B32" w:rsidRPr="00963AA1">
        <w:t xml:space="preserve">the National </w:t>
      </w:r>
      <w:r w:rsidR="00A870A1" w:rsidRPr="00963AA1">
        <w:t>Disability Insurance Scheme (</w:t>
      </w:r>
      <w:r w:rsidR="00AA31A0" w:rsidRPr="00963AA1">
        <w:t>NDIS</w:t>
      </w:r>
      <w:r w:rsidR="00A870A1" w:rsidRPr="00963AA1">
        <w:t>)</w:t>
      </w:r>
      <w:r w:rsidR="00AA31A0" w:rsidRPr="00963AA1">
        <w:t xml:space="preserve"> support.</w:t>
      </w:r>
      <w:r w:rsidR="00364851" w:rsidRPr="00963AA1">
        <w:t xml:space="preserve"> Having a diagnosis and access to services improves the wellbeing of participants within </w:t>
      </w:r>
      <w:r w:rsidR="006E1C07" w:rsidRPr="00963AA1">
        <w:t>RF and</w:t>
      </w:r>
      <w:r w:rsidR="00364851" w:rsidRPr="00963AA1">
        <w:t xml:space="preserve"> provides greater opportunities for support at school for the applicable children. </w:t>
      </w:r>
      <w:r w:rsidR="006E1C07" w:rsidRPr="00963AA1">
        <w:t>Practitioners</w:t>
      </w:r>
      <w:r w:rsidR="24633718" w:rsidRPr="00963AA1">
        <w:t xml:space="preserve"> have also been able to assist in achieving independence and safety for some families with the assistance of brokerage to pay for drivers </w:t>
      </w:r>
      <w:r w:rsidR="00337294" w:rsidRPr="00963AA1">
        <w:t>licen</w:t>
      </w:r>
      <w:r w:rsidR="00337294">
        <w:t>c</w:t>
      </w:r>
      <w:r w:rsidR="00337294" w:rsidRPr="00963AA1">
        <w:t>e</w:t>
      </w:r>
      <w:r w:rsidR="00337294">
        <w:t xml:space="preserve"> </w:t>
      </w:r>
      <w:r w:rsidR="24633718" w:rsidRPr="00963AA1">
        <w:t xml:space="preserve">and lessons. </w:t>
      </w:r>
      <w:r w:rsidR="00934F8F" w:rsidRPr="00934F8F">
        <w:t xml:space="preserve">The Benevolent Society </w:t>
      </w:r>
      <w:r w:rsidR="00364851" w:rsidRPr="00963AA1">
        <w:t xml:space="preserve">have also been able to support families to </w:t>
      </w:r>
      <w:r w:rsidR="00F23867" w:rsidRPr="00963AA1">
        <w:t xml:space="preserve">enjoy activities and create memories during school holidays, which is often financially unachievable for many of the participants. Having these memories and reduced pressure of the financial burden for the day has a very positive impact on the </w:t>
      </w:r>
      <w:r w:rsidR="006E1C07" w:rsidRPr="00963AA1">
        <w:t>families and</w:t>
      </w:r>
      <w:r w:rsidR="00F23867" w:rsidRPr="00963AA1">
        <w:t xml:space="preserve"> allows them to connect with each other away from the</w:t>
      </w:r>
      <w:r w:rsidR="00197B07" w:rsidRPr="00963AA1">
        <w:t xml:space="preserve"> pressures often faced at home.</w:t>
      </w:r>
    </w:p>
    <w:p w14:paraId="7638A817" w14:textId="0BCA8509" w:rsidR="00FD37ED" w:rsidRPr="006A2B4C" w:rsidRDefault="00FD37ED" w:rsidP="00F7682F">
      <w:pPr>
        <w:pStyle w:val="Heading3"/>
      </w:pPr>
      <w:bookmarkStart w:id="34" w:name="_Toc145935878"/>
      <w:bookmarkStart w:id="35" w:name="_Toc149817448"/>
      <w:r w:rsidRPr="006A2B4C">
        <w:t>Workforce</w:t>
      </w:r>
      <w:bookmarkEnd w:id="34"/>
      <w:bookmarkEnd w:id="35"/>
    </w:p>
    <w:p w14:paraId="288B5C37" w14:textId="3976CCED" w:rsidR="00FD37ED" w:rsidRPr="00963AA1" w:rsidRDefault="00BA3AE8" w:rsidP="009E6CEB">
      <w:pPr>
        <w:pStyle w:val="BodyText"/>
      </w:pPr>
      <w:r w:rsidRPr="00BA3AE8">
        <w:t xml:space="preserve">Resilient Families </w:t>
      </w:r>
      <w:r w:rsidR="335BC3C6" w:rsidRPr="00963AA1">
        <w:t>is staffed by:</w:t>
      </w:r>
    </w:p>
    <w:p w14:paraId="51CD2D98" w14:textId="0CAC418C" w:rsidR="335BC3C6" w:rsidRPr="003023FA" w:rsidRDefault="335BC3C6" w:rsidP="003023FA">
      <w:pPr>
        <w:pStyle w:val="Bullets1"/>
      </w:pPr>
      <w:r w:rsidRPr="003023FA">
        <w:t xml:space="preserve">1 </w:t>
      </w:r>
      <w:r w:rsidR="009F4245" w:rsidRPr="003023FA">
        <w:t>m</w:t>
      </w:r>
      <w:r w:rsidRPr="003023FA">
        <w:t>anager</w:t>
      </w:r>
    </w:p>
    <w:p w14:paraId="4286D3F1" w14:textId="12DC3CA1" w:rsidR="335BC3C6" w:rsidRPr="003023FA" w:rsidRDefault="335BC3C6" w:rsidP="003023FA">
      <w:pPr>
        <w:pStyle w:val="Bullets1"/>
      </w:pPr>
      <w:r w:rsidRPr="003023FA">
        <w:t xml:space="preserve">2 </w:t>
      </w:r>
      <w:r w:rsidR="009F4245" w:rsidRPr="003023FA">
        <w:t>t</w:t>
      </w:r>
      <w:r w:rsidRPr="003023FA">
        <w:t xml:space="preserve">eam </w:t>
      </w:r>
      <w:r w:rsidR="009F4245" w:rsidRPr="003023FA">
        <w:t>l</w:t>
      </w:r>
      <w:r w:rsidRPr="003023FA">
        <w:t>eaders</w:t>
      </w:r>
    </w:p>
    <w:p w14:paraId="3505D6A9" w14:textId="319964DF" w:rsidR="335BC3C6" w:rsidRPr="003023FA" w:rsidRDefault="335BC3C6" w:rsidP="003023FA">
      <w:pPr>
        <w:pStyle w:val="Bullets1"/>
      </w:pPr>
      <w:r w:rsidRPr="003023FA">
        <w:t xml:space="preserve">8 </w:t>
      </w:r>
      <w:r w:rsidR="009F4245" w:rsidRPr="003023FA">
        <w:t>c</w:t>
      </w:r>
      <w:r w:rsidRPr="003023FA">
        <w:t xml:space="preserve">hild and </w:t>
      </w:r>
      <w:r w:rsidR="009F4245" w:rsidRPr="003023FA">
        <w:t>f</w:t>
      </w:r>
      <w:r w:rsidRPr="003023FA">
        <w:t xml:space="preserve">amily </w:t>
      </w:r>
      <w:r w:rsidR="009F4245" w:rsidRPr="003023FA">
        <w:t>p</w:t>
      </w:r>
      <w:r w:rsidR="000B449B" w:rsidRPr="003023FA">
        <w:t>ractitioners</w:t>
      </w:r>
    </w:p>
    <w:p w14:paraId="3BFB1634" w14:textId="1DA06004" w:rsidR="6E654D9E" w:rsidRPr="003023FA" w:rsidRDefault="335BC3C6" w:rsidP="003023FA">
      <w:pPr>
        <w:pStyle w:val="Bullets1"/>
      </w:pPr>
      <w:r w:rsidRPr="003023FA">
        <w:t xml:space="preserve">1 </w:t>
      </w:r>
      <w:r w:rsidR="009F4245" w:rsidRPr="003023FA">
        <w:t>c</w:t>
      </w:r>
      <w:r w:rsidRPr="003023FA">
        <w:t xml:space="preserve">ultural </w:t>
      </w:r>
      <w:r w:rsidR="009F4245" w:rsidRPr="003023FA">
        <w:t>e</w:t>
      </w:r>
      <w:r w:rsidRPr="003023FA">
        <w:t xml:space="preserve">ngagement </w:t>
      </w:r>
      <w:r w:rsidR="009F4245" w:rsidRPr="003023FA">
        <w:t>p</w:t>
      </w:r>
      <w:r w:rsidRPr="003023FA">
        <w:t>racti</w:t>
      </w:r>
      <w:r w:rsidR="000B449B" w:rsidRPr="003023FA">
        <w:t>ti</w:t>
      </w:r>
      <w:r w:rsidRPr="003023FA">
        <w:t>oner (0.4FTE)</w:t>
      </w:r>
      <w:r w:rsidR="00BA3AE8">
        <w:t>.</w:t>
      </w:r>
    </w:p>
    <w:p w14:paraId="6B21B44D" w14:textId="24447339" w:rsidR="00FD37ED" w:rsidRPr="00963AA1" w:rsidRDefault="335BC3C6" w:rsidP="00F66BE3">
      <w:pPr>
        <w:pStyle w:val="BodyText"/>
      </w:pPr>
      <w:r w:rsidRPr="00963AA1">
        <w:lastRenderedPageBreak/>
        <w:t>Staffing throughout the reporting period has remained relatively stable, however</w:t>
      </w:r>
      <w:r w:rsidR="003217BE" w:rsidRPr="00963AA1">
        <w:t>,</w:t>
      </w:r>
      <w:r w:rsidRPr="00963AA1">
        <w:t xml:space="preserve"> a change in </w:t>
      </w:r>
      <w:r w:rsidR="003217BE" w:rsidRPr="00963AA1">
        <w:t>t</w:t>
      </w:r>
      <w:r w:rsidRPr="00963AA1">
        <w:t xml:space="preserve">eam </w:t>
      </w:r>
      <w:r w:rsidR="003217BE" w:rsidRPr="00963AA1">
        <w:t>l</w:t>
      </w:r>
      <w:r w:rsidRPr="00963AA1">
        <w:t xml:space="preserve">eaders </w:t>
      </w:r>
      <w:r w:rsidR="0F196001" w:rsidRPr="00963AA1">
        <w:t>during</w:t>
      </w:r>
      <w:r w:rsidRPr="00963AA1">
        <w:t xml:space="preserve"> this period</w:t>
      </w:r>
      <w:r w:rsidR="2CE2B340" w:rsidRPr="00963AA1">
        <w:t xml:space="preserve"> occurred</w:t>
      </w:r>
      <w:r w:rsidRPr="00963AA1">
        <w:t>.</w:t>
      </w:r>
      <w:r w:rsidR="00043453" w:rsidRPr="00963AA1">
        <w:t xml:space="preserve"> </w:t>
      </w:r>
      <w:r w:rsidR="00BA3AE8" w:rsidRPr="00BA3AE8">
        <w:t>Resilient Families (RF)</w:t>
      </w:r>
      <w:r w:rsidR="00BA3AE8">
        <w:t xml:space="preserve"> </w:t>
      </w:r>
      <w:r w:rsidRPr="00963AA1">
        <w:t xml:space="preserve">has </w:t>
      </w:r>
      <w:r w:rsidR="3B5B254A" w:rsidRPr="00963AA1">
        <w:t xml:space="preserve">been able to </w:t>
      </w:r>
      <w:r w:rsidR="7DFB13A1" w:rsidRPr="00963AA1">
        <w:t>fill any vacancies wit</w:t>
      </w:r>
      <w:r w:rsidR="4F46F3FB" w:rsidRPr="00963AA1">
        <w:t>h</w:t>
      </w:r>
      <w:r w:rsidR="7DFB13A1" w:rsidRPr="00963AA1">
        <w:t xml:space="preserve"> skilled, qualified staff.</w:t>
      </w:r>
      <w:r w:rsidR="00043453" w:rsidRPr="00963AA1">
        <w:t xml:space="preserve"> </w:t>
      </w:r>
      <w:r w:rsidR="7DFB13A1" w:rsidRPr="00963AA1">
        <w:t xml:space="preserve">The Murray Bridge position became vacant this period and </w:t>
      </w:r>
      <w:r w:rsidR="00F66BE3">
        <w:t xml:space="preserve">The Benevolent Society (TBS) </w:t>
      </w:r>
      <w:r w:rsidR="7DFB13A1" w:rsidRPr="00963AA1">
        <w:t>was able to attract a local staff member to the position, supporting our engagement and connection to the community.</w:t>
      </w:r>
      <w:r w:rsidR="00043453" w:rsidRPr="00963AA1">
        <w:t xml:space="preserve"> </w:t>
      </w:r>
      <w:r w:rsidR="2BEC1CF0" w:rsidRPr="00963AA1">
        <w:t>Currently TBS has an excellent team of staff.</w:t>
      </w:r>
      <w:r w:rsidR="00043453" w:rsidRPr="00963AA1">
        <w:t xml:space="preserve"> </w:t>
      </w:r>
      <w:r w:rsidR="2BEC1CF0" w:rsidRPr="00963AA1">
        <w:t xml:space="preserve">The expansion of TBS </w:t>
      </w:r>
      <w:r w:rsidR="07A9B92B" w:rsidRPr="00963AA1">
        <w:t>disability</w:t>
      </w:r>
      <w:r w:rsidR="2BEC1CF0" w:rsidRPr="00963AA1">
        <w:t xml:space="preserve"> services into the Murraylands will continue to have an impact on the outcomes for families within the region and enable </w:t>
      </w:r>
      <w:r w:rsidR="06DB34C1" w:rsidRPr="00963AA1">
        <w:t>RF families to</w:t>
      </w:r>
      <w:r w:rsidR="2BEC1CF0" w:rsidRPr="00963AA1">
        <w:t xml:space="preserve"> access </w:t>
      </w:r>
      <w:r w:rsidR="43F76B29" w:rsidRPr="00963AA1">
        <w:t>seamless</w:t>
      </w:r>
      <w:r w:rsidR="3DFC54AE" w:rsidRPr="00963AA1">
        <w:t xml:space="preserve"> </w:t>
      </w:r>
      <w:r w:rsidR="2BEC1CF0" w:rsidRPr="00963AA1">
        <w:t xml:space="preserve">supports from </w:t>
      </w:r>
      <w:r w:rsidR="6DE41C19" w:rsidRPr="00963AA1">
        <w:t>disability</w:t>
      </w:r>
      <w:r w:rsidR="2BEC1CF0" w:rsidRPr="00963AA1">
        <w:t xml:space="preserve"> services and </w:t>
      </w:r>
      <w:r w:rsidR="18B3AB7F" w:rsidRPr="00963AA1">
        <w:t>colleagues</w:t>
      </w:r>
      <w:r w:rsidR="2BEC1CF0" w:rsidRPr="00963AA1">
        <w:t xml:space="preserve"> as r</w:t>
      </w:r>
      <w:r w:rsidR="4317BAFB" w:rsidRPr="00963AA1">
        <w:t>equired.</w:t>
      </w:r>
      <w:r w:rsidR="00043453" w:rsidRPr="00963AA1">
        <w:t xml:space="preserve"> </w:t>
      </w:r>
    </w:p>
    <w:p w14:paraId="646C8A07" w14:textId="1322AD8D" w:rsidR="00DD1239" w:rsidRPr="006A2B4C" w:rsidRDefault="00DD1239" w:rsidP="00F7682F">
      <w:pPr>
        <w:pStyle w:val="Heading3"/>
      </w:pPr>
      <w:bookmarkStart w:id="36" w:name="_Toc145935879"/>
      <w:bookmarkStart w:id="37" w:name="_Toc149817449"/>
      <w:r w:rsidRPr="006A2B4C">
        <w:t xml:space="preserve">Financial </w:t>
      </w:r>
      <w:r w:rsidR="00A10F01">
        <w:t>s</w:t>
      </w:r>
      <w:r w:rsidR="00C50EE6" w:rsidRPr="006A2B4C">
        <w:t>tatement</w:t>
      </w:r>
      <w:bookmarkStart w:id="38" w:name="_Toc107931722"/>
      <w:bookmarkEnd w:id="36"/>
      <w:bookmarkEnd w:id="37"/>
      <w:r w:rsidR="00C50EE6" w:rsidRPr="006A2B4C">
        <w:t xml:space="preserve"> </w:t>
      </w:r>
      <w:bookmarkEnd w:id="38"/>
    </w:p>
    <w:p w14:paraId="287ADDD5" w14:textId="319D73F0" w:rsidR="00D278C1" w:rsidRPr="00963AA1" w:rsidRDefault="008C4B2A" w:rsidP="009E6CEB">
      <w:pPr>
        <w:pStyle w:val="BodyText"/>
      </w:pPr>
      <w:r w:rsidRPr="00963AA1">
        <w:t>TBS delivered RF within the allocated budget. Set</w:t>
      </w:r>
      <w:r w:rsidR="006D1D4D">
        <w:t>-</w:t>
      </w:r>
      <w:r w:rsidRPr="00963AA1">
        <w:t>up funds were approved for roll over for the life of the</w:t>
      </w:r>
      <w:r w:rsidR="0099682D" w:rsidRPr="00963AA1">
        <w:t xml:space="preserve"> </w:t>
      </w:r>
      <w:r w:rsidR="44900C47" w:rsidRPr="00963AA1">
        <w:t>c</w:t>
      </w:r>
      <w:r w:rsidRPr="00963AA1">
        <w:t>ontract.</w:t>
      </w:r>
    </w:p>
    <w:p w14:paraId="7CE7522A" w14:textId="79FCA085" w:rsidR="00D278C1" w:rsidRPr="00B93C82" w:rsidRDefault="00EB10DC" w:rsidP="00F7682F">
      <w:pPr>
        <w:pStyle w:val="Heading3"/>
      </w:pPr>
      <w:bookmarkStart w:id="39" w:name="_Toc145935880"/>
      <w:bookmarkStart w:id="40" w:name="_Toc149817450"/>
      <w:r w:rsidRPr="00B93C82">
        <w:t xml:space="preserve">Child </w:t>
      </w:r>
      <w:r w:rsidR="003B09D5">
        <w:t>p</w:t>
      </w:r>
      <w:r w:rsidRPr="00B93C82">
        <w:t xml:space="preserve">rotection </w:t>
      </w:r>
      <w:r w:rsidR="003B09D5">
        <w:t>a</w:t>
      </w:r>
      <w:r w:rsidRPr="00B93C82">
        <w:t>wards</w:t>
      </w:r>
      <w:bookmarkEnd w:id="39"/>
      <w:bookmarkEnd w:id="40"/>
    </w:p>
    <w:p w14:paraId="0D5E92A7" w14:textId="755E8EDE" w:rsidR="002653A6" w:rsidRPr="00963AA1" w:rsidRDefault="00EB10DC" w:rsidP="00F66BE3">
      <w:pPr>
        <w:pStyle w:val="BodyText"/>
      </w:pPr>
      <w:r w:rsidRPr="00963AA1">
        <w:t xml:space="preserve">TBS was nominated by </w:t>
      </w:r>
      <w:r w:rsidR="00F66BE3">
        <w:t xml:space="preserve">Department of Human Services (DHS) </w:t>
      </w:r>
      <w:r w:rsidRPr="00963AA1">
        <w:t xml:space="preserve">for a </w:t>
      </w:r>
      <w:r w:rsidR="007355BA" w:rsidRPr="00963AA1">
        <w:t>c</w:t>
      </w:r>
      <w:r w:rsidRPr="00963AA1">
        <w:t xml:space="preserve">hild </w:t>
      </w:r>
      <w:r w:rsidR="001A3F4F" w:rsidRPr="00963AA1">
        <w:t>p</w:t>
      </w:r>
      <w:r w:rsidRPr="00963AA1">
        <w:t xml:space="preserve">rotection award in 2022 </w:t>
      </w:r>
      <w:r w:rsidR="00E04DD3" w:rsidRPr="00963AA1">
        <w:t xml:space="preserve">under the Outstanding Service </w:t>
      </w:r>
      <w:r w:rsidR="00CC69E3" w:rsidRPr="00963AA1">
        <w:t xml:space="preserve">Award category. </w:t>
      </w:r>
      <w:r w:rsidR="0017134A" w:rsidRPr="00963AA1">
        <w:t xml:space="preserve">The nomination recognised the </w:t>
      </w:r>
      <w:r w:rsidR="00727471" w:rsidRPr="00963AA1">
        <w:t xml:space="preserve">program’s successful first year, with only one family having a child placed in </w:t>
      </w:r>
      <w:r w:rsidR="56C2EB67" w:rsidRPr="00963AA1">
        <w:t>care</w:t>
      </w:r>
      <w:r w:rsidR="00D06C78" w:rsidRPr="007707B5">
        <w:rPr>
          <w:rStyle w:val="FootnoteReference"/>
        </w:rPr>
        <w:footnoteReference w:id="2"/>
      </w:r>
      <w:r w:rsidR="00065248" w:rsidRPr="00963AA1">
        <w:t xml:space="preserve"> but later returned to the family home. </w:t>
      </w:r>
      <w:r w:rsidR="00550C17" w:rsidRPr="00963AA1">
        <w:t xml:space="preserve">TBS’s work with families to assist with the </w:t>
      </w:r>
      <w:r w:rsidR="00C7584D" w:rsidRPr="00C7584D">
        <w:t>National Disability Insurance Scheme (NDIS)</w:t>
      </w:r>
      <w:r w:rsidR="00C7584D">
        <w:t xml:space="preserve"> </w:t>
      </w:r>
      <w:r w:rsidR="00550C17" w:rsidRPr="00963AA1">
        <w:t xml:space="preserve">assessment and application process was highlighted in the nomination, </w:t>
      </w:r>
      <w:r w:rsidR="004B5334" w:rsidRPr="00963AA1">
        <w:t xml:space="preserve">to acknowledge how a diagnosis and engagement of relevant supports can </w:t>
      </w:r>
      <w:r w:rsidR="006228DC" w:rsidRPr="00963AA1">
        <w:t>reduce the stress experienced by families participating in the Resilient Families program, with a positive impact on other complexities within their family unit.</w:t>
      </w:r>
      <w:r w:rsidR="002653A6" w:rsidRPr="00963AA1">
        <w:br w:type="page"/>
      </w:r>
    </w:p>
    <w:p w14:paraId="4EBB84A4" w14:textId="79945F8B" w:rsidR="002653A6" w:rsidRPr="00E427A9" w:rsidRDefault="002C2336" w:rsidP="00F7682F">
      <w:pPr>
        <w:pStyle w:val="Heading2"/>
      </w:pPr>
      <w:bookmarkStart w:id="41" w:name="_Toc107931723"/>
      <w:bookmarkStart w:id="42" w:name="_Toc145935881"/>
      <w:bookmarkStart w:id="43" w:name="_Toc147318176"/>
      <w:bookmarkStart w:id="44" w:name="_Toc149817451"/>
      <w:r w:rsidRPr="00E427A9">
        <w:lastRenderedPageBreak/>
        <w:t xml:space="preserve">Intervention </w:t>
      </w:r>
      <w:r w:rsidR="00A10F01" w:rsidRPr="00E427A9">
        <w:t>g</w:t>
      </w:r>
      <w:r w:rsidRPr="00E427A9">
        <w:t>roup</w:t>
      </w:r>
      <w:r w:rsidR="00943653" w:rsidRPr="00E427A9">
        <w:br/>
      </w:r>
      <w:r w:rsidR="37B1ED84" w:rsidRPr="00E427A9">
        <w:t>1</w:t>
      </w:r>
      <w:r w:rsidRPr="00E427A9">
        <w:t xml:space="preserve"> July 202</w:t>
      </w:r>
      <w:r w:rsidR="000678C1" w:rsidRPr="00E427A9">
        <w:t>2</w:t>
      </w:r>
      <w:r w:rsidRPr="00E427A9">
        <w:t xml:space="preserve"> to 30 June 202</w:t>
      </w:r>
      <w:bookmarkEnd w:id="41"/>
      <w:r w:rsidR="000678C1" w:rsidRPr="00E427A9">
        <w:t>3</w:t>
      </w:r>
      <w:bookmarkEnd w:id="42"/>
      <w:bookmarkEnd w:id="43"/>
      <w:bookmarkEnd w:id="44"/>
    </w:p>
    <w:p w14:paraId="0C8704A4" w14:textId="660118EA" w:rsidR="000678C1" w:rsidRPr="00963AA1" w:rsidRDefault="000678C1" w:rsidP="009E6CEB">
      <w:pPr>
        <w:pStyle w:val="BodyText"/>
      </w:pPr>
      <w:r w:rsidRPr="00963AA1">
        <w:t xml:space="preserve">Families were referred to </w:t>
      </w:r>
      <w:r w:rsidR="00BE4BBD" w:rsidRPr="00BE4BBD">
        <w:t>Resilient Families (RF)</w:t>
      </w:r>
      <w:r w:rsidR="00BE4BBD">
        <w:t xml:space="preserve"> </w:t>
      </w:r>
      <w:r w:rsidRPr="00963AA1">
        <w:t xml:space="preserve">across the 12 months, based on the cohort size identified in the contract. </w:t>
      </w:r>
      <w:r w:rsidR="00620259" w:rsidRPr="00963AA1">
        <w:t>Generally,</w:t>
      </w:r>
      <w:r w:rsidRPr="00963AA1">
        <w:t xml:space="preserve"> the referrals were </w:t>
      </w:r>
      <w:r w:rsidR="009D5B8C" w:rsidRPr="00963AA1">
        <w:t xml:space="preserve">distributed across the months in line with capacity of </w:t>
      </w:r>
      <w:r w:rsidR="000E7F42" w:rsidRPr="00963AA1">
        <w:t>c</w:t>
      </w:r>
      <w:r w:rsidR="009D5B8C" w:rsidRPr="00963AA1">
        <w:t xml:space="preserve">ase </w:t>
      </w:r>
      <w:r w:rsidR="000E7F42" w:rsidRPr="00963AA1">
        <w:t>w</w:t>
      </w:r>
      <w:r w:rsidR="009D5B8C" w:rsidRPr="00963AA1">
        <w:t>orkers to commence working with new families.</w:t>
      </w:r>
      <w:r w:rsidR="00620259" w:rsidRPr="00963AA1">
        <w:t xml:space="preserve"> In the second year of the program, referrals were </w:t>
      </w:r>
      <w:r w:rsidR="00735FA1" w:rsidRPr="00963AA1">
        <w:t>sought across</w:t>
      </w:r>
      <w:r w:rsidR="00716893" w:rsidRPr="00963AA1">
        <w:t xml:space="preserve"> all eligible areas with the </w:t>
      </w:r>
      <w:r w:rsidR="001C5AD4" w:rsidRPr="00963AA1">
        <w:t>increased capacity of the Murray Bridge service.</w:t>
      </w:r>
    </w:p>
    <w:p w14:paraId="5C7F9374" w14:textId="38480DE2" w:rsidR="00C06418" w:rsidRPr="00963AA1" w:rsidRDefault="009A0503" w:rsidP="009E6CEB">
      <w:pPr>
        <w:pStyle w:val="BodyText"/>
      </w:pPr>
      <w:r w:rsidRPr="00963AA1">
        <w:t xml:space="preserve">The below tables and graphs summarise the distribution of referrals across the quarter, </w:t>
      </w:r>
      <w:r w:rsidR="4D097B11" w:rsidRPr="00963AA1">
        <w:t>the</w:t>
      </w:r>
      <w:r w:rsidRPr="00963AA1">
        <w:t xml:space="preserve"> referring office, status at the end of the 12</w:t>
      </w:r>
      <w:r w:rsidR="006D1D4D">
        <w:t>-</w:t>
      </w:r>
      <w:r w:rsidRPr="00963AA1">
        <w:t>month period, and age groups of all children engaged in the RF program.</w:t>
      </w:r>
    </w:p>
    <w:p w14:paraId="27C0D1EC" w14:textId="1C3222D5" w:rsidR="00802844" w:rsidRPr="006A2B4C" w:rsidRDefault="00802844" w:rsidP="00F7682F">
      <w:pPr>
        <w:pStyle w:val="Heading3"/>
      </w:pPr>
      <w:bookmarkStart w:id="45" w:name="_Toc145935882"/>
      <w:bookmarkStart w:id="46" w:name="_Toc149817452"/>
      <w:r w:rsidRPr="006A2B4C">
        <w:t xml:space="preserve">Referrals and </w:t>
      </w:r>
      <w:bookmarkStart w:id="47" w:name="_Toc107931725"/>
      <w:r w:rsidR="00A10F01">
        <w:t>c</w:t>
      </w:r>
      <w:r w:rsidRPr="006A2B4C">
        <w:t>ommencements</w:t>
      </w:r>
      <w:bookmarkEnd w:id="45"/>
      <w:bookmarkEnd w:id="46"/>
      <w:bookmarkEnd w:id="47"/>
    </w:p>
    <w:p w14:paraId="2B420BC6" w14:textId="77777777" w:rsidR="00802844" w:rsidRPr="00963AA1" w:rsidRDefault="00802844" w:rsidP="009E6CEB">
      <w:pPr>
        <w:pStyle w:val="BodyText"/>
      </w:pPr>
      <w:r w:rsidRPr="00963AA1">
        <w:t xml:space="preserve">The cumulative total of families in the RF program is expected to be 300, over the 4.5 years of the program. </w:t>
      </w:r>
    </w:p>
    <w:p w14:paraId="1FCA77E2" w14:textId="77777777" w:rsidR="00802844" w:rsidRPr="00963AA1" w:rsidRDefault="00802844" w:rsidP="009E6CEB">
      <w:pPr>
        <w:pStyle w:val="BodyText"/>
      </w:pPr>
      <w:r w:rsidRPr="00963AA1">
        <w:t>It was anticipated that some families would be excluded from the Intervention Group, due to a variety of reasons. In some circumstances, as decided by the governance groups for the RF program, a replacement referral may be sought. This ensures that the size of the Intervention Group is as close as possible to the expected 300.</w:t>
      </w:r>
    </w:p>
    <w:p w14:paraId="76785150" w14:textId="1DD36816" w:rsidR="000A6E5D" w:rsidRPr="00963AA1" w:rsidRDefault="00802844" w:rsidP="009E6CEB">
      <w:pPr>
        <w:pStyle w:val="BodyText"/>
      </w:pPr>
      <w:r w:rsidRPr="00963AA1">
        <w:t xml:space="preserve">The referrals and Intervention Group size for the program at the end of the second year is summarised in </w:t>
      </w:r>
      <w:r w:rsidRPr="00963AA1">
        <w:rPr>
          <w:i/>
          <w:iCs/>
          <w:highlight w:val="yellow"/>
        </w:rPr>
        <w:fldChar w:fldCharType="begin"/>
      </w:r>
      <w:r w:rsidRPr="00963AA1">
        <w:rPr>
          <w:i/>
          <w:iCs/>
        </w:rPr>
        <w:instrText xml:space="preserve"> REF _Ref142302213 \h </w:instrText>
      </w:r>
      <w:r w:rsidRPr="00963AA1">
        <w:rPr>
          <w:i/>
          <w:iCs/>
          <w:highlight w:val="yellow"/>
        </w:rPr>
        <w:instrText xml:space="preserve"> \* MERGEFORMAT </w:instrText>
      </w:r>
      <w:r w:rsidRPr="00963AA1">
        <w:rPr>
          <w:i/>
          <w:iCs/>
          <w:highlight w:val="yellow"/>
        </w:rPr>
      </w:r>
      <w:r w:rsidRPr="00963AA1">
        <w:rPr>
          <w:i/>
          <w:iCs/>
          <w:highlight w:val="yellow"/>
        </w:rPr>
        <w:fldChar w:fldCharType="separate"/>
      </w:r>
      <w:r w:rsidRPr="00963AA1">
        <w:rPr>
          <w:i/>
          <w:iCs/>
        </w:rPr>
        <w:t>Table 1: Referrals and commencements</w:t>
      </w:r>
      <w:r w:rsidRPr="00963AA1">
        <w:rPr>
          <w:i/>
          <w:iCs/>
          <w:highlight w:val="yellow"/>
        </w:rPr>
        <w:fldChar w:fldCharType="end"/>
      </w:r>
      <w:r w:rsidRPr="00963AA1">
        <w:t>, and shows that the Intervention Group is currently 2 lower than the target of 65. Replacement Referral Requests will continue to be made during the subsequent referral periods to decrease this gap.</w:t>
      </w:r>
    </w:p>
    <w:p w14:paraId="03337D03" w14:textId="77777777" w:rsidR="00463732" w:rsidRDefault="00463732">
      <w:pPr>
        <w:keepLines w:val="0"/>
        <w:spacing w:line="240" w:lineRule="auto"/>
        <w:rPr>
          <w:b/>
          <w:iCs/>
          <w:color w:val="7F7F7F"/>
          <w:sz w:val="30"/>
          <w:szCs w:val="30"/>
        </w:rPr>
      </w:pPr>
      <w:bookmarkStart w:id="48" w:name="_Toc149827331"/>
      <w:r>
        <w:br w:type="page"/>
      </w:r>
    </w:p>
    <w:p w14:paraId="2DCA9EB9" w14:textId="40610F9C" w:rsidR="00175292" w:rsidRPr="001C7D6D" w:rsidRDefault="00175292" w:rsidP="001C7D6D">
      <w:pPr>
        <w:pStyle w:val="Caption"/>
        <w:rPr>
          <w:b w:val="0"/>
          <w:iCs w:val="0"/>
        </w:rPr>
      </w:pPr>
      <w:bookmarkStart w:id="49" w:name="_Toc149828784"/>
      <w:r w:rsidRPr="00953F90">
        <w:lastRenderedPageBreak/>
        <w:t xml:space="preserve">Table </w:t>
      </w:r>
      <w:r w:rsidR="006C1357">
        <w:fldChar w:fldCharType="begin"/>
      </w:r>
      <w:r w:rsidR="006C1357">
        <w:instrText xml:space="preserve"> SEQ Table \* ARABIC </w:instrText>
      </w:r>
      <w:r w:rsidR="006C1357">
        <w:fldChar w:fldCharType="separate"/>
      </w:r>
      <w:r w:rsidR="007203A7">
        <w:rPr>
          <w:noProof/>
        </w:rPr>
        <w:t>1</w:t>
      </w:r>
      <w:r w:rsidR="006C1357">
        <w:rPr>
          <w:noProof/>
        </w:rPr>
        <w:fldChar w:fldCharType="end"/>
      </w:r>
      <w:r w:rsidRPr="00953F90">
        <w:t xml:space="preserve"> Referrals and Commencements</w:t>
      </w:r>
      <w:bookmarkEnd w:id="48"/>
      <w:bookmarkEnd w:id="49"/>
    </w:p>
    <w:tbl>
      <w:tblPr>
        <w:tblStyle w:val="TableGrid"/>
        <w:tblpPr w:leftFromText="180" w:rightFromText="180" w:vertAnchor="text" w:horzAnchor="margin" w:tblpY="-34"/>
        <w:tblW w:w="4995" w:type="pct"/>
        <w:tblLook w:val="04A0" w:firstRow="1" w:lastRow="0" w:firstColumn="1" w:lastColumn="0" w:noHBand="0" w:noVBand="1"/>
      </w:tblPr>
      <w:tblGrid>
        <w:gridCol w:w="1399"/>
        <w:gridCol w:w="1407"/>
        <w:gridCol w:w="1409"/>
        <w:gridCol w:w="1409"/>
        <w:gridCol w:w="1409"/>
        <w:gridCol w:w="1454"/>
      </w:tblGrid>
      <w:tr w:rsidR="00C73B7D" w14:paraId="4994C303" w14:textId="77777777" w:rsidTr="00E3039F">
        <w:trPr>
          <w:tblHeader/>
        </w:trPr>
        <w:tc>
          <w:tcPr>
            <w:tcW w:w="1399" w:type="dxa"/>
          </w:tcPr>
          <w:p w14:paraId="4E56E0E8" w14:textId="77777777" w:rsidR="00EF027F" w:rsidRPr="00EF027F" w:rsidRDefault="00EF027F" w:rsidP="00880055">
            <w:pPr>
              <w:pStyle w:val="Table-Header"/>
            </w:pPr>
            <w:r w:rsidRPr="00EF027F">
              <w:t>Period</w:t>
            </w:r>
          </w:p>
        </w:tc>
        <w:tc>
          <w:tcPr>
            <w:tcW w:w="1407" w:type="dxa"/>
          </w:tcPr>
          <w:p w14:paraId="75FF02D6" w14:textId="3DC27182" w:rsidR="00EF027F" w:rsidRDefault="00EF027F" w:rsidP="00880055">
            <w:pPr>
              <w:pStyle w:val="Table-Header"/>
            </w:pPr>
            <w:r>
              <w:t>Referral Capacity</w:t>
            </w:r>
            <w:r w:rsidR="00E3039F" w:rsidRPr="00E3039F">
              <w:rPr>
                <w:rStyle w:val="FootnoteReference"/>
              </w:rPr>
              <w:footnoteReference w:id="3"/>
            </w:r>
          </w:p>
        </w:tc>
        <w:tc>
          <w:tcPr>
            <w:tcW w:w="1409" w:type="dxa"/>
          </w:tcPr>
          <w:p w14:paraId="531CD4C9" w14:textId="0F1AA843" w:rsidR="00EF027F" w:rsidRDefault="00EF027F" w:rsidP="00880055">
            <w:pPr>
              <w:pStyle w:val="Table-Header"/>
            </w:pPr>
            <w:r>
              <w:t>Referrals</w:t>
            </w:r>
            <w:r w:rsidR="00E3039F" w:rsidRPr="00E3039F">
              <w:rPr>
                <w:rStyle w:val="FootnoteReference"/>
              </w:rPr>
              <w:footnoteReference w:id="4"/>
            </w:r>
          </w:p>
        </w:tc>
        <w:tc>
          <w:tcPr>
            <w:tcW w:w="1409" w:type="dxa"/>
          </w:tcPr>
          <w:p w14:paraId="141C0567" w14:textId="205F9344" w:rsidR="00EF027F" w:rsidRDefault="00EF027F" w:rsidP="00880055">
            <w:pPr>
              <w:pStyle w:val="Table-Header"/>
            </w:pPr>
            <w:r>
              <w:t>Accepted Referrals</w:t>
            </w:r>
            <w:r w:rsidR="00E3039F" w:rsidRPr="00E3039F">
              <w:rPr>
                <w:rStyle w:val="FootnoteReference"/>
              </w:rPr>
              <w:footnoteReference w:id="5"/>
            </w:r>
          </w:p>
        </w:tc>
        <w:tc>
          <w:tcPr>
            <w:tcW w:w="1409" w:type="dxa"/>
          </w:tcPr>
          <w:p w14:paraId="120806DB" w14:textId="24EA9A54" w:rsidR="00EF027F" w:rsidRDefault="00EF027F" w:rsidP="00880055">
            <w:pPr>
              <w:pStyle w:val="Table-Header"/>
            </w:pPr>
            <w:r>
              <w:t>Excluded</w:t>
            </w:r>
            <w:r w:rsidR="00E3039F" w:rsidRPr="00E3039F">
              <w:rPr>
                <w:rStyle w:val="FootnoteReference"/>
              </w:rPr>
              <w:footnoteReference w:id="6"/>
            </w:r>
          </w:p>
        </w:tc>
        <w:tc>
          <w:tcPr>
            <w:tcW w:w="1454" w:type="dxa"/>
          </w:tcPr>
          <w:p w14:paraId="58FBA925" w14:textId="53FA913C" w:rsidR="00EF027F" w:rsidRDefault="00EF027F" w:rsidP="00880055">
            <w:pPr>
              <w:pStyle w:val="Table-Header"/>
            </w:pPr>
            <w:r>
              <w:t>Intervention Group</w:t>
            </w:r>
            <w:r w:rsidR="00E3039F" w:rsidRPr="00E3039F">
              <w:rPr>
                <w:rStyle w:val="FootnoteReference"/>
              </w:rPr>
              <w:footnoteReference w:id="7"/>
            </w:r>
          </w:p>
        </w:tc>
      </w:tr>
      <w:tr w:rsidR="00C73B7D" w14:paraId="6EAFBFDF" w14:textId="77777777" w:rsidTr="00E3039F">
        <w:tc>
          <w:tcPr>
            <w:tcW w:w="1399" w:type="dxa"/>
          </w:tcPr>
          <w:p w14:paraId="6B0A2A5F" w14:textId="58AF5674" w:rsidR="00EF027F" w:rsidRDefault="00EF027F" w:rsidP="00880055">
            <w:pPr>
              <w:pStyle w:val="Table-Header"/>
            </w:pPr>
            <w:r>
              <w:t>5: July</w:t>
            </w:r>
            <w:r w:rsidR="00346CD5">
              <w:t xml:space="preserve"> – </w:t>
            </w:r>
            <w:r>
              <w:t>Sept 22</w:t>
            </w:r>
          </w:p>
        </w:tc>
        <w:tc>
          <w:tcPr>
            <w:tcW w:w="1407" w:type="dxa"/>
          </w:tcPr>
          <w:p w14:paraId="00086804" w14:textId="77777777" w:rsidR="00EF027F" w:rsidRPr="00E3039F" w:rsidRDefault="00EF027F" w:rsidP="002313BE">
            <w:pPr>
              <w:pStyle w:val="Table-Text"/>
              <w:tabs>
                <w:tab w:val="decimal" w:pos="621"/>
              </w:tabs>
            </w:pPr>
            <w:r w:rsidRPr="00E3039F">
              <w:t>15</w:t>
            </w:r>
          </w:p>
        </w:tc>
        <w:tc>
          <w:tcPr>
            <w:tcW w:w="1409" w:type="dxa"/>
          </w:tcPr>
          <w:p w14:paraId="5D8B0B56" w14:textId="77777777" w:rsidR="00EF027F" w:rsidRPr="00E3039F" w:rsidRDefault="00EF027F" w:rsidP="002313BE">
            <w:pPr>
              <w:pStyle w:val="Table-Text"/>
              <w:tabs>
                <w:tab w:val="decimal" w:pos="621"/>
              </w:tabs>
            </w:pPr>
            <w:r w:rsidRPr="00E3039F">
              <w:t>20</w:t>
            </w:r>
          </w:p>
        </w:tc>
        <w:tc>
          <w:tcPr>
            <w:tcW w:w="1409" w:type="dxa"/>
          </w:tcPr>
          <w:p w14:paraId="3A3ED0B0" w14:textId="77777777" w:rsidR="00EF027F" w:rsidRPr="00E3039F" w:rsidRDefault="00EF027F" w:rsidP="002313BE">
            <w:pPr>
              <w:pStyle w:val="Table-Text"/>
              <w:tabs>
                <w:tab w:val="decimal" w:pos="621"/>
              </w:tabs>
            </w:pPr>
            <w:r w:rsidRPr="00E3039F">
              <w:t>16</w:t>
            </w:r>
          </w:p>
        </w:tc>
        <w:tc>
          <w:tcPr>
            <w:tcW w:w="1409" w:type="dxa"/>
          </w:tcPr>
          <w:p w14:paraId="16D8CD60" w14:textId="77777777" w:rsidR="00EF027F" w:rsidRPr="00E3039F" w:rsidRDefault="00EF027F" w:rsidP="002313BE">
            <w:pPr>
              <w:pStyle w:val="Table-Text"/>
              <w:tabs>
                <w:tab w:val="decimal" w:pos="621"/>
              </w:tabs>
            </w:pPr>
            <w:r w:rsidRPr="00E3039F">
              <w:t>5</w:t>
            </w:r>
          </w:p>
        </w:tc>
        <w:tc>
          <w:tcPr>
            <w:tcW w:w="1454" w:type="dxa"/>
          </w:tcPr>
          <w:p w14:paraId="164BA2C3" w14:textId="77777777" w:rsidR="00EF027F" w:rsidRPr="00E3039F" w:rsidRDefault="00EF027F" w:rsidP="002313BE">
            <w:pPr>
              <w:pStyle w:val="Table-Text"/>
              <w:tabs>
                <w:tab w:val="decimal" w:pos="621"/>
              </w:tabs>
            </w:pPr>
            <w:r w:rsidRPr="00E3039F">
              <w:t>14</w:t>
            </w:r>
          </w:p>
        </w:tc>
      </w:tr>
      <w:tr w:rsidR="00C73B7D" w14:paraId="553B563F" w14:textId="77777777" w:rsidTr="00E3039F">
        <w:tc>
          <w:tcPr>
            <w:tcW w:w="1399" w:type="dxa"/>
          </w:tcPr>
          <w:p w14:paraId="6760AE38" w14:textId="0DB7409B" w:rsidR="00EF027F" w:rsidRDefault="00EF027F" w:rsidP="00880055">
            <w:pPr>
              <w:pStyle w:val="Table-Header"/>
            </w:pPr>
            <w:r>
              <w:t xml:space="preserve">6: Oct </w:t>
            </w:r>
            <w:r w:rsidR="00346CD5">
              <w:t>–</w:t>
            </w:r>
            <w:r>
              <w:t xml:space="preserve"> Dec 22</w:t>
            </w:r>
          </w:p>
        </w:tc>
        <w:tc>
          <w:tcPr>
            <w:tcW w:w="1407" w:type="dxa"/>
          </w:tcPr>
          <w:p w14:paraId="03087CE1" w14:textId="77777777" w:rsidR="00EF027F" w:rsidRPr="00E3039F" w:rsidRDefault="00EF027F" w:rsidP="002313BE">
            <w:pPr>
              <w:pStyle w:val="Table-Text"/>
              <w:tabs>
                <w:tab w:val="decimal" w:pos="621"/>
              </w:tabs>
            </w:pPr>
            <w:r w:rsidRPr="00E3039F">
              <w:t>15</w:t>
            </w:r>
          </w:p>
        </w:tc>
        <w:tc>
          <w:tcPr>
            <w:tcW w:w="1409" w:type="dxa"/>
          </w:tcPr>
          <w:p w14:paraId="77AB71BE" w14:textId="77777777" w:rsidR="00EF027F" w:rsidRPr="00E3039F" w:rsidRDefault="00EF027F" w:rsidP="002313BE">
            <w:pPr>
              <w:pStyle w:val="Table-Text"/>
              <w:tabs>
                <w:tab w:val="decimal" w:pos="621"/>
              </w:tabs>
            </w:pPr>
            <w:r w:rsidRPr="00E3039F">
              <w:t>20</w:t>
            </w:r>
          </w:p>
        </w:tc>
        <w:tc>
          <w:tcPr>
            <w:tcW w:w="1409" w:type="dxa"/>
          </w:tcPr>
          <w:p w14:paraId="07377419" w14:textId="77777777" w:rsidR="00EF027F" w:rsidRPr="00E3039F" w:rsidRDefault="00EF027F" w:rsidP="002313BE">
            <w:pPr>
              <w:pStyle w:val="Table-Text"/>
              <w:tabs>
                <w:tab w:val="decimal" w:pos="621"/>
              </w:tabs>
            </w:pPr>
            <w:r w:rsidRPr="00E3039F">
              <w:t>14</w:t>
            </w:r>
          </w:p>
        </w:tc>
        <w:tc>
          <w:tcPr>
            <w:tcW w:w="1409" w:type="dxa"/>
          </w:tcPr>
          <w:p w14:paraId="756DA70A" w14:textId="77777777" w:rsidR="00EF027F" w:rsidRPr="00E3039F" w:rsidRDefault="00EF027F" w:rsidP="002313BE">
            <w:pPr>
              <w:pStyle w:val="Table-Text"/>
              <w:tabs>
                <w:tab w:val="decimal" w:pos="621"/>
              </w:tabs>
            </w:pPr>
            <w:r w:rsidRPr="00E3039F">
              <w:t>3</w:t>
            </w:r>
          </w:p>
        </w:tc>
        <w:tc>
          <w:tcPr>
            <w:tcW w:w="1454" w:type="dxa"/>
          </w:tcPr>
          <w:p w14:paraId="0AAE212C" w14:textId="77777777" w:rsidR="00EF027F" w:rsidRPr="00E3039F" w:rsidRDefault="00EF027F" w:rsidP="002313BE">
            <w:pPr>
              <w:pStyle w:val="Table-Text"/>
              <w:tabs>
                <w:tab w:val="decimal" w:pos="621"/>
              </w:tabs>
            </w:pPr>
            <w:r w:rsidRPr="00E3039F">
              <w:t>13</w:t>
            </w:r>
          </w:p>
        </w:tc>
      </w:tr>
      <w:tr w:rsidR="00EF027F" w14:paraId="25B43CD4" w14:textId="77777777" w:rsidTr="00E3039F">
        <w:tc>
          <w:tcPr>
            <w:tcW w:w="1399" w:type="dxa"/>
          </w:tcPr>
          <w:p w14:paraId="606890BE" w14:textId="1D44D5A6" w:rsidR="00EF027F" w:rsidRDefault="00EF027F" w:rsidP="00880055">
            <w:pPr>
              <w:pStyle w:val="Table-Header"/>
            </w:pPr>
            <w:r>
              <w:t xml:space="preserve">7: Jan </w:t>
            </w:r>
            <w:r w:rsidR="00346CD5">
              <w:t>–</w:t>
            </w:r>
            <w:r>
              <w:t xml:space="preserve"> Mar 23</w:t>
            </w:r>
          </w:p>
        </w:tc>
        <w:tc>
          <w:tcPr>
            <w:tcW w:w="1407" w:type="dxa"/>
          </w:tcPr>
          <w:p w14:paraId="2685AB68" w14:textId="77777777" w:rsidR="00EF027F" w:rsidRPr="00E3039F" w:rsidRDefault="00EF027F" w:rsidP="002313BE">
            <w:pPr>
              <w:pStyle w:val="Table-Text"/>
              <w:tabs>
                <w:tab w:val="decimal" w:pos="621"/>
              </w:tabs>
            </w:pPr>
            <w:r w:rsidRPr="00E3039F">
              <w:t>17.5</w:t>
            </w:r>
          </w:p>
        </w:tc>
        <w:tc>
          <w:tcPr>
            <w:tcW w:w="1409" w:type="dxa"/>
          </w:tcPr>
          <w:p w14:paraId="710D7B36" w14:textId="77777777" w:rsidR="00EF027F" w:rsidRPr="00E3039F" w:rsidRDefault="00EF027F" w:rsidP="002313BE">
            <w:pPr>
              <w:pStyle w:val="Table-Text"/>
              <w:tabs>
                <w:tab w:val="decimal" w:pos="621"/>
              </w:tabs>
            </w:pPr>
            <w:r w:rsidRPr="00E3039F">
              <w:t>24</w:t>
            </w:r>
          </w:p>
        </w:tc>
        <w:tc>
          <w:tcPr>
            <w:tcW w:w="1409" w:type="dxa"/>
          </w:tcPr>
          <w:p w14:paraId="2D3CBCEE" w14:textId="77777777" w:rsidR="00EF027F" w:rsidRPr="00E3039F" w:rsidRDefault="00EF027F" w:rsidP="002313BE">
            <w:pPr>
              <w:pStyle w:val="Table-Text"/>
              <w:tabs>
                <w:tab w:val="decimal" w:pos="621"/>
              </w:tabs>
            </w:pPr>
            <w:r w:rsidRPr="00E3039F">
              <w:t>19</w:t>
            </w:r>
          </w:p>
        </w:tc>
        <w:tc>
          <w:tcPr>
            <w:tcW w:w="1409" w:type="dxa"/>
          </w:tcPr>
          <w:p w14:paraId="0E28C91C" w14:textId="77777777" w:rsidR="00EF027F" w:rsidRPr="00E3039F" w:rsidRDefault="00EF027F" w:rsidP="002313BE">
            <w:pPr>
              <w:pStyle w:val="Table-Text"/>
              <w:tabs>
                <w:tab w:val="decimal" w:pos="621"/>
              </w:tabs>
            </w:pPr>
            <w:r w:rsidRPr="00E3039F">
              <w:t>3</w:t>
            </w:r>
          </w:p>
        </w:tc>
        <w:tc>
          <w:tcPr>
            <w:tcW w:w="1454" w:type="dxa"/>
          </w:tcPr>
          <w:p w14:paraId="4DB7F80F" w14:textId="77777777" w:rsidR="00EF027F" w:rsidRPr="00E3039F" w:rsidRDefault="00EF027F" w:rsidP="002313BE">
            <w:pPr>
              <w:pStyle w:val="Table-Text"/>
              <w:tabs>
                <w:tab w:val="decimal" w:pos="621"/>
              </w:tabs>
            </w:pPr>
            <w:r w:rsidRPr="00E3039F">
              <w:t>17</w:t>
            </w:r>
          </w:p>
        </w:tc>
      </w:tr>
      <w:tr w:rsidR="00EF027F" w14:paraId="21A27E87" w14:textId="77777777" w:rsidTr="00E3039F">
        <w:tc>
          <w:tcPr>
            <w:tcW w:w="1399" w:type="dxa"/>
          </w:tcPr>
          <w:p w14:paraId="0E8E61A4" w14:textId="599492DB" w:rsidR="00EF027F" w:rsidRDefault="00EF027F" w:rsidP="00880055">
            <w:pPr>
              <w:pStyle w:val="Table-Header"/>
            </w:pPr>
            <w:r>
              <w:t xml:space="preserve">8: April </w:t>
            </w:r>
            <w:r w:rsidR="00346CD5">
              <w:t xml:space="preserve">– </w:t>
            </w:r>
            <w:r>
              <w:t>Jun 23</w:t>
            </w:r>
          </w:p>
        </w:tc>
        <w:tc>
          <w:tcPr>
            <w:tcW w:w="1407" w:type="dxa"/>
          </w:tcPr>
          <w:p w14:paraId="07449524" w14:textId="77777777" w:rsidR="00EF027F" w:rsidRPr="00E3039F" w:rsidRDefault="00EF027F" w:rsidP="002313BE">
            <w:pPr>
              <w:pStyle w:val="Table-Text"/>
              <w:tabs>
                <w:tab w:val="decimal" w:pos="621"/>
              </w:tabs>
            </w:pPr>
            <w:r w:rsidRPr="00E3039F">
              <w:t>17.5</w:t>
            </w:r>
          </w:p>
        </w:tc>
        <w:tc>
          <w:tcPr>
            <w:tcW w:w="1409" w:type="dxa"/>
          </w:tcPr>
          <w:p w14:paraId="6D1A4145" w14:textId="77777777" w:rsidR="00EF027F" w:rsidRPr="00E3039F" w:rsidRDefault="00EF027F" w:rsidP="002313BE">
            <w:pPr>
              <w:pStyle w:val="Table-Text"/>
              <w:tabs>
                <w:tab w:val="decimal" w:pos="621"/>
              </w:tabs>
            </w:pPr>
            <w:r w:rsidRPr="00E3039F">
              <w:t>27</w:t>
            </w:r>
          </w:p>
        </w:tc>
        <w:tc>
          <w:tcPr>
            <w:tcW w:w="1409" w:type="dxa"/>
          </w:tcPr>
          <w:p w14:paraId="2346E0F0" w14:textId="77777777" w:rsidR="00EF027F" w:rsidRPr="00E3039F" w:rsidRDefault="00EF027F" w:rsidP="002313BE">
            <w:pPr>
              <w:pStyle w:val="Table-Text"/>
              <w:tabs>
                <w:tab w:val="decimal" w:pos="621"/>
              </w:tabs>
            </w:pPr>
            <w:r w:rsidRPr="00E3039F">
              <w:t>21</w:t>
            </w:r>
          </w:p>
        </w:tc>
        <w:tc>
          <w:tcPr>
            <w:tcW w:w="1409" w:type="dxa"/>
          </w:tcPr>
          <w:p w14:paraId="71302E2D" w14:textId="77777777" w:rsidR="00EF027F" w:rsidRPr="00E3039F" w:rsidRDefault="00EF027F" w:rsidP="002313BE">
            <w:pPr>
              <w:pStyle w:val="Table-Text"/>
              <w:tabs>
                <w:tab w:val="decimal" w:pos="621"/>
              </w:tabs>
            </w:pPr>
            <w:r w:rsidRPr="00E3039F">
              <w:t>3</w:t>
            </w:r>
          </w:p>
        </w:tc>
        <w:tc>
          <w:tcPr>
            <w:tcW w:w="1454" w:type="dxa"/>
          </w:tcPr>
          <w:p w14:paraId="60687021" w14:textId="77777777" w:rsidR="00EF027F" w:rsidRPr="00E3039F" w:rsidRDefault="00EF027F" w:rsidP="002313BE">
            <w:pPr>
              <w:pStyle w:val="Table-Text"/>
              <w:tabs>
                <w:tab w:val="decimal" w:pos="621"/>
              </w:tabs>
            </w:pPr>
            <w:r w:rsidRPr="00E3039F">
              <w:t>19</w:t>
            </w:r>
          </w:p>
        </w:tc>
      </w:tr>
      <w:tr w:rsidR="00EF027F" w14:paraId="334FEA8C" w14:textId="77777777" w:rsidTr="00E3039F">
        <w:tc>
          <w:tcPr>
            <w:tcW w:w="1399" w:type="dxa"/>
          </w:tcPr>
          <w:p w14:paraId="71DCC107" w14:textId="77777777" w:rsidR="00EF027F" w:rsidRDefault="00EF027F" w:rsidP="00880055">
            <w:pPr>
              <w:pStyle w:val="Table-Header"/>
            </w:pPr>
            <w:r>
              <w:t>Total</w:t>
            </w:r>
          </w:p>
        </w:tc>
        <w:tc>
          <w:tcPr>
            <w:tcW w:w="1407" w:type="dxa"/>
          </w:tcPr>
          <w:p w14:paraId="3CE62E64" w14:textId="77777777" w:rsidR="00EF027F" w:rsidRPr="00E3039F" w:rsidRDefault="00EF027F" w:rsidP="002313BE">
            <w:pPr>
              <w:pStyle w:val="Table-Text"/>
              <w:tabs>
                <w:tab w:val="decimal" w:pos="621"/>
              </w:tabs>
            </w:pPr>
            <w:r w:rsidRPr="00E3039F">
              <w:t>65</w:t>
            </w:r>
          </w:p>
        </w:tc>
        <w:tc>
          <w:tcPr>
            <w:tcW w:w="1409" w:type="dxa"/>
          </w:tcPr>
          <w:p w14:paraId="658E8E1D" w14:textId="77777777" w:rsidR="00EF027F" w:rsidRPr="00E3039F" w:rsidRDefault="00EF027F" w:rsidP="002313BE">
            <w:pPr>
              <w:pStyle w:val="Table-Text"/>
              <w:tabs>
                <w:tab w:val="decimal" w:pos="621"/>
              </w:tabs>
            </w:pPr>
            <w:r w:rsidRPr="00E3039F">
              <w:t>91</w:t>
            </w:r>
          </w:p>
        </w:tc>
        <w:tc>
          <w:tcPr>
            <w:tcW w:w="1409" w:type="dxa"/>
          </w:tcPr>
          <w:p w14:paraId="28EEDBEF" w14:textId="77777777" w:rsidR="00EF027F" w:rsidRPr="00E3039F" w:rsidRDefault="00EF027F" w:rsidP="002313BE">
            <w:pPr>
              <w:pStyle w:val="Table-Text"/>
              <w:tabs>
                <w:tab w:val="decimal" w:pos="621"/>
              </w:tabs>
            </w:pPr>
            <w:r w:rsidRPr="00E3039F">
              <w:t>70</w:t>
            </w:r>
          </w:p>
        </w:tc>
        <w:tc>
          <w:tcPr>
            <w:tcW w:w="1409" w:type="dxa"/>
          </w:tcPr>
          <w:p w14:paraId="6E781ACA" w14:textId="77777777" w:rsidR="00EF027F" w:rsidRPr="00E3039F" w:rsidRDefault="00EF027F" w:rsidP="002313BE">
            <w:pPr>
              <w:pStyle w:val="Table-Text"/>
              <w:tabs>
                <w:tab w:val="decimal" w:pos="621"/>
              </w:tabs>
            </w:pPr>
            <w:r w:rsidRPr="00E3039F">
              <w:t>14</w:t>
            </w:r>
          </w:p>
        </w:tc>
        <w:tc>
          <w:tcPr>
            <w:tcW w:w="1454" w:type="dxa"/>
          </w:tcPr>
          <w:p w14:paraId="10A8B5B7" w14:textId="77777777" w:rsidR="00EF027F" w:rsidRPr="00E3039F" w:rsidRDefault="00EF027F" w:rsidP="002313BE">
            <w:pPr>
              <w:pStyle w:val="Table-Text"/>
              <w:tabs>
                <w:tab w:val="decimal" w:pos="621"/>
              </w:tabs>
            </w:pPr>
            <w:r w:rsidRPr="00E3039F">
              <w:t>63</w:t>
            </w:r>
          </w:p>
        </w:tc>
      </w:tr>
    </w:tbl>
    <w:p w14:paraId="0EDD7E68" w14:textId="551D4C55" w:rsidR="002C238E" w:rsidRDefault="002C238E" w:rsidP="00E3039F">
      <w:pPr>
        <w:pStyle w:val="BodyText"/>
        <w:spacing w:before="400"/>
      </w:pPr>
      <w:r w:rsidRPr="00963AA1">
        <w:t xml:space="preserve">In the first year a total of 54 families were included in the Intervention Group. </w:t>
      </w:r>
      <w:r w:rsidR="00635640" w:rsidRPr="00963AA1">
        <w:t xml:space="preserve">The </w:t>
      </w:r>
      <w:r w:rsidR="00BF7DC5" w:rsidRPr="00963AA1">
        <w:t xml:space="preserve">Intervention Group </w:t>
      </w:r>
      <w:r w:rsidR="00C04FDD" w:rsidRPr="00963AA1">
        <w:t>total</w:t>
      </w:r>
      <w:r w:rsidR="008119B9" w:rsidRPr="00963AA1">
        <w:t xml:space="preserve"> is shown in</w:t>
      </w:r>
      <w:r w:rsidR="00985173" w:rsidRPr="00963AA1">
        <w:t xml:space="preserve"> </w:t>
      </w:r>
      <w:r w:rsidR="00985173" w:rsidRPr="00963AA1">
        <w:rPr>
          <w:i/>
          <w:iCs/>
        </w:rPr>
        <w:fldChar w:fldCharType="begin"/>
      </w:r>
      <w:r w:rsidR="00985173" w:rsidRPr="00963AA1">
        <w:rPr>
          <w:i/>
          <w:iCs/>
        </w:rPr>
        <w:instrText xml:space="preserve"> REF _Ref142380102 \h </w:instrText>
      </w:r>
      <w:r w:rsidR="000705E1" w:rsidRPr="00963AA1">
        <w:rPr>
          <w:i/>
          <w:iCs/>
        </w:rPr>
        <w:instrText xml:space="preserve"> \* MERGEFORMAT </w:instrText>
      </w:r>
      <w:r w:rsidR="00985173" w:rsidRPr="00963AA1">
        <w:rPr>
          <w:i/>
          <w:iCs/>
        </w:rPr>
      </w:r>
      <w:r w:rsidR="00985173" w:rsidRPr="00963AA1">
        <w:rPr>
          <w:i/>
          <w:iCs/>
        </w:rPr>
        <w:fldChar w:fldCharType="separate"/>
      </w:r>
      <w:r w:rsidR="00D94D67" w:rsidRPr="00963AA1">
        <w:rPr>
          <w:i/>
          <w:iCs/>
        </w:rPr>
        <w:t>Figure 3: Intervention Group against the Program Target</w:t>
      </w:r>
      <w:r w:rsidR="00985173" w:rsidRPr="00963AA1">
        <w:rPr>
          <w:i/>
          <w:iCs/>
        </w:rPr>
        <w:fldChar w:fldCharType="end"/>
      </w:r>
      <w:r w:rsidR="00C04FDD" w:rsidRPr="00963AA1">
        <w:t xml:space="preserve">, and as of 30 June 2023, there were a total of </w:t>
      </w:r>
      <w:r w:rsidR="001331B4" w:rsidRPr="00963AA1">
        <w:t xml:space="preserve">117 </w:t>
      </w:r>
      <w:r w:rsidR="00C04FDD" w:rsidRPr="00963AA1">
        <w:t>families in the Intervention Group, slightly below the target of 125 families.</w:t>
      </w:r>
    </w:p>
    <w:p w14:paraId="0C8E8623" w14:textId="25120EF4" w:rsidR="005E4B53" w:rsidRDefault="005E4B53" w:rsidP="00893461">
      <w:pPr>
        <w:pStyle w:val="Caption"/>
      </w:pPr>
      <w:r>
        <w:t xml:space="preserve">Figure </w:t>
      </w:r>
      <w:r w:rsidR="006C1357">
        <w:fldChar w:fldCharType="begin"/>
      </w:r>
      <w:r w:rsidR="006C1357">
        <w:instrText xml:space="preserve"> SEQ Figure \* ARABIC </w:instrText>
      </w:r>
      <w:r w:rsidR="006C1357">
        <w:fldChar w:fldCharType="separate"/>
      </w:r>
      <w:r w:rsidR="00463732">
        <w:rPr>
          <w:noProof/>
        </w:rPr>
        <w:t>3</w:t>
      </w:r>
      <w:r w:rsidR="006C1357">
        <w:rPr>
          <w:noProof/>
        </w:rPr>
        <w:fldChar w:fldCharType="end"/>
      </w:r>
      <w:r>
        <w:t xml:space="preserve"> </w:t>
      </w:r>
      <w:r w:rsidRPr="001B12C2">
        <w:t>Intervention Group against the Program Target</w:t>
      </w:r>
    </w:p>
    <w:p w14:paraId="18CB6B9D" w14:textId="5BE31CEB" w:rsidR="00912678" w:rsidRPr="006A2B4C" w:rsidRDefault="00912678" w:rsidP="003D3C42">
      <w:pPr>
        <w:pStyle w:val="BodyText"/>
      </w:pPr>
      <w:r>
        <w:rPr>
          <w:noProof/>
        </w:rPr>
        <w:drawing>
          <wp:inline distT="0" distB="0" distL="0" distR="0" wp14:anchorId="32D956B0" wp14:editId="669FE1F8">
            <wp:extent cx="5281295" cy="2605561"/>
            <wp:effectExtent l="133350" t="114300" r="147955" b="156845"/>
            <wp:docPr id="8" name="Picture 8" descr="Column graph showing the cumulative Intervention Group size across the 8 periods of the program with 117 families in the Intervention Group by the end of Period 8, below the target of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lumn graph showing the cumulative Intervention Group size across the 8 periods of the program with 117 families in the Intervention Group by the end of Period 8, below the target of 125."/>
                    <pic:cNvPicPr/>
                  </pic:nvPicPr>
                  <pic:blipFill>
                    <a:blip r:embed="rId20"/>
                    <a:stretch>
                      <a:fillRect/>
                    </a:stretch>
                  </pic:blipFill>
                  <pic:spPr>
                    <a:xfrm>
                      <a:off x="0" y="0"/>
                      <a:ext cx="5294432" cy="26120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EA728A0" w14:textId="2D9D7A67" w:rsidR="00290B0A" w:rsidRPr="00963AA1" w:rsidRDefault="00290B0A" w:rsidP="00367D43">
      <w:pPr>
        <w:pStyle w:val="BodyText"/>
      </w:pPr>
      <w:bookmarkStart w:id="50" w:name="_Toc107931726"/>
      <w:r w:rsidRPr="00963AA1">
        <w:lastRenderedPageBreak/>
        <w:t xml:space="preserve">Families were able to be referred to Resilient Families from the </w:t>
      </w:r>
      <w:r w:rsidR="000975BE" w:rsidRPr="00963AA1">
        <w:t>i</w:t>
      </w:r>
      <w:r w:rsidRPr="00963AA1">
        <w:t>nner</w:t>
      </w:r>
      <w:r w:rsidR="006D1D4D">
        <w:t>-</w:t>
      </w:r>
      <w:r w:rsidR="00D02E09" w:rsidRPr="00963AA1">
        <w:t>s</w:t>
      </w:r>
      <w:r w:rsidRPr="00963AA1">
        <w:t xml:space="preserve">outh </w:t>
      </w:r>
      <w:r w:rsidR="00996A6A" w:rsidRPr="00996A6A">
        <w:t>Department for Child Protection</w:t>
      </w:r>
      <w:r w:rsidR="00367D43">
        <w:t xml:space="preserve"> (DCP) </w:t>
      </w:r>
      <w:r w:rsidRPr="00963AA1">
        <w:t xml:space="preserve">office </w:t>
      </w:r>
      <w:r w:rsidR="3D9797BD" w:rsidRPr="00963AA1">
        <w:t>from</w:t>
      </w:r>
      <w:r w:rsidRPr="00963AA1">
        <w:t xml:space="preserve"> May 2023 due</w:t>
      </w:r>
      <w:r w:rsidR="00DA6FA2" w:rsidRPr="00963AA1">
        <w:t xml:space="preserve"> </w:t>
      </w:r>
      <w:r w:rsidRPr="00963AA1">
        <w:t xml:space="preserve">to </w:t>
      </w:r>
      <w:r w:rsidR="10200BD5" w:rsidRPr="00963AA1">
        <w:t xml:space="preserve">the abovementioned </w:t>
      </w:r>
      <w:r w:rsidRPr="00963AA1">
        <w:t xml:space="preserve">changes </w:t>
      </w:r>
      <w:r w:rsidR="4503BA35" w:rsidRPr="00963AA1">
        <w:t>to DCP office boundaries and structure</w:t>
      </w:r>
      <w:r w:rsidRPr="00963AA1">
        <w:t>. The proportion of all referrals from</w:t>
      </w:r>
      <w:r w:rsidR="00DA6FA2" w:rsidRPr="00963AA1">
        <w:t xml:space="preserve"> </w:t>
      </w:r>
      <w:r w:rsidRPr="00963AA1">
        <w:t xml:space="preserve">each of the referring DCP offices from 1 July 2022 to 30 June 2023 is shown in </w:t>
      </w:r>
      <w:r w:rsidR="00B36780" w:rsidRPr="00963AA1">
        <w:rPr>
          <w:i/>
          <w:iCs/>
        </w:rPr>
        <w:fldChar w:fldCharType="begin"/>
      </w:r>
      <w:r w:rsidR="00B36780" w:rsidRPr="00963AA1">
        <w:rPr>
          <w:i/>
          <w:iCs/>
        </w:rPr>
        <w:instrText xml:space="preserve"> REF _Ref142379939 \h </w:instrText>
      </w:r>
      <w:r w:rsidR="000705E1" w:rsidRPr="00963AA1">
        <w:rPr>
          <w:i/>
          <w:iCs/>
        </w:rPr>
        <w:instrText xml:space="preserve"> \* MERGEFORMAT </w:instrText>
      </w:r>
      <w:r w:rsidR="00B36780" w:rsidRPr="00963AA1">
        <w:rPr>
          <w:i/>
          <w:iCs/>
        </w:rPr>
      </w:r>
      <w:r w:rsidR="00B36780" w:rsidRPr="00963AA1">
        <w:rPr>
          <w:i/>
          <w:iCs/>
        </w:rPr>
        <w:fldChar w:fldCharType="separate"/>
      </w:r>
      <w:r w:rsidR="00D94D67" w:rsidRPr="00963AA1">
        <w:rPr>
          <w:i/>
          <w:iCs/>
        </w:rPr>
        <w:t>Figure 4: Referrals by DCP Referring Office</w:t>
      </w:r>
      <w:r w:rsidR="00B36780" w:rsidRPr="00963AA1">
        <w:rPr>
          <w:i/>
          <w:iCs/>
        </w:rPr>
        <w:fldChar w:fldCharType="end"/>
      </w:r>
      <w:r w:rsidR="00985173" w:rsidRPr="00963AA1">
        <w:t xml:space="preserve">, noting the inclusion of the </w:t>
      </w:r>
      <w:r w:rsidR="003B1352" w:rsidRPr="00963AA1">
        <w:t>i</w:t>
      </w:r>
      <w:r w:rsidR="00985173" w:rsidRPr="00963AA1">
        <w:t>nner</w:t>
      </w:r>
      <w:r w:rsidR="006D1D4D">
        <w:t>-</w:t>
      </w:r>
      <w:r w:rsidR="003B1352" w:rsidRPr="00963AA1">
        <w:t>s</w:t>
      </w:r>
      <w:r w:rsidR="00985173" w:rsidRPr="00963AA1">
        <w:t>outh DCP office from May 2023.</w:t>
      </w:r>
      <w:r w:rsidRPr="00963AA1">
        <w:t xml:space="preserve"> </w:t>
      </w:r>
      <w:r w:rsidR="00367D43">
        <w:t xml:space="preserve">The Benevolent Society (TBS) </w:t>
      </w:r>
      <w:r w:rsidRPr="00963AA1">
        <w:t>and DCP have continued to work closely together to identify suitable families for referral and understand the nuances of the service model. At times the demand for services has been higher than the capacity of TBS staff, and the organisations have worked together to understand the options available to families so that the most appropriate support can be offered in a timely manner for families facing a high level of complexity and risk.</w:t>
      </w:r>
    </w:p>
    <w:p w14:paraId="4FB0242F" w14:textId="1D794A76" w:rsidR="00990331" w:rsidRPr="00963AA1" w:rsidRDefault="0A6AB3D7" w:rsidP="009E6CEB">
      <w:pPr>
        <w:pStyle w:val="BodyText"/>
      </w:pPr>
      <w:r w:rsidRPr="00963AA1">
        <w:t xml:space="preserve">DCP and TBS partnered during the reporting period to implement strategies to improve referral processes for the Murray Bridge area to ensure </w:t>
      </w:r>
      <w:r w:rsidR="7D836F51" w:rsidRPr="00963AA1">
        <w:t>referrals to the program were made within the required timeframes.</w:t>
      </w:r>
    </w:p>
    <w:p w14:paraId="3A9ACA89" w14:textId="6BA1AA4E" w:rsidR="00CD2A22" w:rsidRPr="00367D43" w:rsidRDefault="00CD2A22" w:rsidP="00893461">
      <w:pPr>
        <w:pStyle w:val="Caption"/>
        <w:rPr>
          <w:bCs/>
        </w:rPr>
      </w:pPr>
      <w:r>
        <w:t xml:space="preserve">Figure </w:t>
      </w:r>
      <w:r w:rsidR="006C1357">
        <w:fldChar w:fldCharType="begin"/>
      </w:r>
      <w:r w:rsidR="006C1357">
        <w:instrText xml:space="preserve"> SEQ Figure \* ARABIC </w:instrText>
      </w:r>
      <w:r w:rsidR="006C1357">
        <w:fldChar w:fldCharType="separate"/>
      </w:r>
      <w:r w:rsidR="005B408C">
        <w:rPr>
          <w:noProof/>
        </w:rPr>
        <w:t>4</w:t>
      </w:r>
      <w:r w:rsidR="006C1357">
        <w:rPr>
          <w:noProof/>
        </w:rPr>
        <w:fldChar w:fldCharType="end"/>
      </w:r>
      <w:r>
        <w:t xml:space="preserve"> Referrals by DCP Referring Office</w:t>
      </w:r>
    </w:p>
    <w:p w14:paraId="3A78A326" w14:textId="776634E4" w:rsidR="00A31D15" w:rsidRPr="006A2B4C" w:rsidRDefault="00D0317C" w:rsidP="003D3C42">
      <w:pPr>
        <w:pStyle w:val="BodyText"/>
      </w:pPr>
      <w:bookmarkStart w:id="51" w:name="_Ref142379939"/>
      <w:r>
        <w:rPr>
          <w:noProof/>
        </w:rPr>
        <w:drawing>
          <wp:inline distT="0" distB="0" distL="0" distR="0" wp14:anchorId="281DA09F" wp14:editId="7CECCAE2">
            <wp:extent cx="5153660" cy="3382434"/>
            <wp:effectExtent l="133350" t="114300" r="123190" b="161290"/>
            <wp:docPr id="9" name="Picture 9" descr="Pie graph showing the distribution of referrals from 4 offices.&#10;Noarlunga had the greatest referrals at 66 per cent, followed by Murray Bridge at 18 per cent, and St Marys at 15 per cent. Inner South had only 1 per cent of referr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e graph showing the distribution of referrals from 4 offices.&#10;Noarlunga had the greatest referrals at 66 per cent, followed by Murray Bridge at 18 per cent, and St Marys at 15 per cent. Inner South had only 1 per cent of referrals. "/>
                    <pic:cNvPicPr/>
                  </pic:nvPicPr>
                  <pic:blipFill rotWithShape="1">
                    <a:blip r:embed="rId21"/>
                    <a:srcRect b="8490"/>
                    <a:stretch/>
                  </pic:blipFill>
                  <pic:spPr bwMode="auto">
                    <a:xfrm>
                      <a:off x="0" y="0"/>
                      <a:ext cx="5153941" cy="338261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bookmarkEnd w:id="51"/>
    </w:p>
    <w:p w14:paraId="4321654B" w14:textId="3E6B7E1F" w:rsidR="00374FC5" w:rsidRPr="006A2B4C" w:rsidRDefault="00374FC5" w:rsidP="00F7682F">
      <w:pPr>
        <w:pStyle w:val="Heading3"/>
      </w:pPr>
      <w:bookmarkStart w:id="52" w:name="_Toc107931729"/>
      <w:bookmarkStart w:id="53" w:name="_Toc145935883"/>
      <w:bookmarkStart w:id="54" w:name="_Toc149817453"/>
      <w:r w:rsidRPr="006A2B4C">
        <w:t xml:space="preserve">Family </w:t>
      </w:r>
      <w:r w:rsidR="00A10F01">
        <w:t>d</w:t>
      </w:r>
      <w:r w:rsidRPr="00CF5CF3">
        <w:t>emographics</w:t>
      </w:r>
      <w:bookmarkEnd w:id="52"/>
      <w:bookmarkEnd w:id="53"/>
      <w:bookmarkEnd w:id="54"/>
    </w:p>
    <w:p w14:paraId="783B9D2D" w14:textId="02736666" w:rsidR="00135370" w:rsidRDefault="00E72B23" w:rsidP="00CD2A22">
      <w:pPr>
        <w:pStyle w:val="BodyText"/>
        <w:spacing w:before="240"/>
      </w:pPr>
      <w:r w:rsidRPr="006A2B4C">
        <w:t xml:space="preserve">Resilient Families </w:t>
      </w:r>
      <w:r w:rsidR="007725BD" w:rsidRPr="006A2B4C">
        <w:t xml:space="preserve">(RF) </w:t>
      </w:r>
      <w:r w:rsidRPr="006A2B4C">
        <w:t xml:space="preserve">works with families of all </w:t>
      </w:r>
      <w:r w:rsidR="002352E0" w:rsidRPr="006A2B4C">
        <w:t xml:space="preserve">ages, but the Index Child must be less than 9 years of age. </w:t>
      </w:r>
      <w:r w:rsidR="00ED03FA" w:rsidRPr="006A2B4C">
        <w:t xml:space="preserve">The </w:t>
      </w:r>
      <w:r w:rsidR="001F27C0" w:rsidRPr="006A2B4C">
        <w:t>distribution</w:t>
      </w:r>
      <w:r w:rsidR="00C03874" w:rsidRPr="006A2B4C">
        <w:t xml:space="preserve"> of children</w:t>
      </w:r>
      <w:r w:rsidR="006A50D1" w:rsidRPr="006A2B4C">
        <w:t>’s ages</w:t>
      </w:r>
      <w:r w:rsidR="00C37288" w:rsidRPr="006A2B4C">
        <w:t xml:space="preserve"> at the time of referral</w:t>
      </w:r>
      <w:r w:rsidR="006A50D1" w:rsidRPr="006A2B4C">
        <w:t xml:space="preserve"> is shown as </w:t>
      </w:r>
      <w:r w:rsidR="006A50D1" w:rsidRPr="00270A2C">
        <w:rPr>
          <w:i/>
          <w:iCs/>
        </w:rPr>
        <w:fldChar w:fldCharType="begin"/>
      </w:r>
      <w:r w:rsidR="006A50D1" w:rsidRPr="00270A2C">
        <w:rPr>
          <w:i/>
          <w:iCs/>
        </w:rPr>
        <w:instrText xml:space="preserve"> REF _Ref142390458 \h </w:instrText>
      </w:r>
      <w:r w:rsidR="000705E1" w:rsidRPr="00270A2C">
        <w:rPr>
          <w:i/>
          <w:iCs/>
        </w:rPr>
        <w:instrText xml:space="preserve"> \* MERGEFORMAT </w:instrText>
      </w:r>
      <w:r w:rsidR="006A50D1" w:rsidRPr="00270A2C">
        <w:rPr>
          <w:i/>
          <w:iCs/>
        </w:rPr>
      </w:r>
      <w:r w:rsidR="006A50D1" w:rsidRPr="00270A2C">
        <w:rPr>
          <w:i/>
          <w:iCs/>
        </w:rPr>
        <w:fldChar w:fldCharType="separate"/>
      </w:r>
      <w:r w:rsidR="00D94D67" w:rsidRPr="00270A2C">
        <w:rPr>
          <w:i/>
          <w:iCs/>
        </w:rPr>
        <w:t>Figure 5: Ages of Intervention Group</w:t>
      </w:r>
      <w:r w:rsidR="006A50D1" w:rsidRPr="00270A2C">
        <w:rPr>
          <w:i/>
          <w:iCs/>
        </w:rPr>
        <w:fldChar w:fldCharType="end"/>
      </w:r>
      <w:r w:rsidR="00C37288" w:rsidRPr="006A2B4C">
        <w:t xml:space="preserve">, with </w:t>
      </w:r>
      <w:r w:rsidR="00D02661" w:rsidRPr="006A2B4C">
        <w:t>6</w:t>
      </w:r>
      <w:r w:rsidR="00E85204">
        <w:t>%</w:t>
      </w:r>
      <w:r w:rsidR="00C37288" w:rsidRPr="006A2B4C">
        <w:t xml:space="preserve"> of the Intervention Group being an unborn </w:t>
      </w:r>
      <w:r w:rsidR="00356820" w:rsidRPr="006A2B4C">
        <w:t>baby</w:t>
      </w:r>
      <w:r w:rsidR="00C37288" w:rsidRPr="006A2B4C">
        <w:t xml:space="preserve"> </w:t>
      </w:r>
      <w:r w:rsidR="00785A73" w:rsidRPr="006A2B4C">
        <w:t>and 3</w:t>
      </w:r>
      <w:r w:rsidR="002C7E4D" w:rsidRPr="006A2B4C">
        <w:t>4</w:t>
      </w:r>
      <w:r w:rsidR="00E85204">
        <w:t>%</w:t>
      </w:r>
      <w:r w:rsidR="00785A73" w:rsidRPr="006A2B4C">
        <w:t xml:space="preserve"> aged between 5 and 9 years</w:t>
      </w:r>
      <w:r w:rsidR="004C7961" w:rsidRPr="006A2B4C">
        <w:t>, for those families referred in the reporting period</w:t>
      </w:r>
      <w:r w:rsidR="00785A73" w:rsidRPr="006A2B4C">
        <w:t>.</w:t>
      </w:r>
    </w:p>
    <w:p w14:paraId="0E59F45A" w14:textId="7FD913A1" w:rsidR="00CD2A22" w:rsidRDefault="00CD2A22" w:rsidP="00893461">
      <w:pPr>
        <w:pStyle w:val="Caption"/>
        <w:rPr>
          <w:bCs/>
        </w:rPr>
      </w:pPr>
      <w:r>
        <w:lastRenderedPageBreak/>
        <w:t xml:space="preserve">Figure </w:t>
      </w:r>
      <w:r w:rsidR="006C1357">
        <w:fldChar w:fldCharType="begin"/>
      </w:r>
      <w:r w:rsidR="006C1357">
        <w:instrText xml:space="preserve"> SEQ Figure \* ARABIC </w:instrText>
      </w:r>
      <w:r w:rsidR="006C1357">
        <w:fldChar w:fldCharType="separate"/>
      </w:r>
      <w:r w:rsidR="005B408C">
        <w:rPr>
          <w:noProof/>
        </w:rPr>
        <w:t>5</w:t>
      </w:r>
      <w:r w:rsidR="006C1357">
        <w:rPr>
          <w:noProof/>
        </w:rPr>
        <w:fldChar w:fldCharType="end"/>
      </w:r>
      <w:r>
        <w:t xml:space="preserve"> Ages of Intervention</w:t>
      </w:r>
      <w:r w:rsidRPr="00893461">
        <w:t xml:space="preserve"> Gro</w:t>
      </w:r>
      <w:r>
        <w:t>up</w:t>
      </w:r>
    </w:p>
    <w:p w14:paraId="092D9B38" w14:textId="1768303D" w:rsidR="00135370" w:rsidRPr="00963AA1" w:rsidRDefault="00BD34E6" w:rsidP="009E6CEB">
      <w:pPr>
        <w:pStyle w:val="BodyText"/>
      </w:pPr>
      <w:bookmarkStart w:id="55" w:name="_Ref142390458"/>
      <w:r w:rsidRPr="00963AA1">
        <w:rPr>
          <w:noProof/>
        </w:rPr>
        <w:drawing>
          <wp:inline distT="0" distB="0" distL="0" distR="0" wp14:anchorId="102281D4" wp14:editId="7DB145EC">
            <wp:extent cx="4378508" cy="2738967"/>
            <wp:effectExtent l="133350" t="114300" r="136525" b="156845"/>
            <wp:docPr id="10" name="Picture 10" descr="Column graph showing the ages of the 159 children in the Intervention Group. 70 per cent of children were aged 0 to 9 years. 20 per cent were aged 10 to 14. The remaining 10 per cent were either over 15 or as yet unbo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lumn graph showing the ages of the 159 children in the Intervention Group. 70 per cent of children were aged 0 to 9 years. 20 per cent were aged 10 to 14. The remaining 10 per cent were either over 15 or as yet unborn. "/>
                    <pic:cNvPicPr/>
                  </pic:nvPicPr>
                  <pic:blipFill rotWithShape="1">
                    <a:blip r:embed="rId22"/>
                    <a:srcRect l="9443" t="2785" r="12122" b="6558"/>
                    <a:stretch/>
                  </pic:blipFill>
                  <pic:spPr bwMode="auto">
                    <a:xfrm>
                      <a:off x="0" y="0"/>
                      <a:ext cx="4393261" cy="2748196"/>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bookmarkEnd w:id="55"/>
    </w:p>
    <w:p w14:paraId="383435DC" w14:textId="74348DA2" w:rsidR="003B743E" w:rsidRPr="00963AA1" w:rsidRDefault="00D90F51" w:rsidP="009E6CEB">
      <w:pPr>
        <w:pStyle w:val="BodyText"/>
      </w:pPr>
      <w:r w:rsidRPr="00963AA1">
        <w:t xml:space="preserve">The </w:t>
      </w:r>
      <w:r w:rsidR="00B55807" w:rsidRPr="00963AA1">
        <w:t>culture</w:t>
      </w:r>
      <w:r w:rsidRPr="00963AA1">
        <w:t xml:space="preserve"> of </w:t>
      </w:r>
      <w:r w:rsidR="00B55807" w:rsidRPr="00963AA1">
        <w:t xml:space="preserve">the families </w:t>
      </w:r>
      <w:r w:rsidRPr="00963AA1">
        <w:t xml:space="preserve">referred and included in the Intervention Group during the reporting period is provided as </w:t>
      </w:r>
      <w:r w:rsidR="004C7961" w:rsidRPr="00963AA1">
        <w:rPr>
          <w:i/>
          <w:iCs/>
        </w:rPr>
        <w:fldChar w:fldCharType="begin"/>
      </w:r>
      <w:r w:rsidR="004C7961" w:rsidRPr="00963AA1">
        <w:rPr>
          <w:i/>
          <w:iCs/>
        </w:rPr>
        <w:instrText xml:space="preserve"> REF _Ref142392462 \h </w:instrText>
      </w:r>
      <w:r w:rsidR="000705E1" w:rsidRPr="00963AA1">
        <w:rPr>
          <w:i/>
          <w:iCs/>
        </w:rPr>
        <w:instrText xml:space="preserve"> \* MERGEFORMAT </w:instrText>
      </w:r>
      <w:r w:rsidR="004C7961" w:rsidRPr="00963AA1">
        <w:rPr>
          <w:i/>
          <w:iCs/>
        </w:rPr>
      </w:r>
      <w:r w:rsidR="004C7961" w:rsidRPr="00963AA1">
        <w:rPr>
          <w:i/>
          <w:iCs/>
        </w:rPr>
        <w:fldChar w:fldCharType="separate"/>
      </w:r>
      <w:r w:rsidR="00D94D67" w:rsidRPr="00963AA1">
        <w:rPr>
          <w:i/>
          <w:iCs/>
        </w:rPr>
        <w:t>Figure 6: Aboriginal Families in Intervention Group</w:t>
      </w:r>
      <w:r w:rsidR="004C7961" w:rsidRPr="00963AA1">
        <w:rPr>
          <w:i/>
          <w:iCs/>
        </w:rPr>
        <w:fldChar w:fldCharType="end"/>
      </w:r>
      <w:r w:rsidRPr="00963AA1">
        <w:t>, with 3</w:t>
      </w:r>
      <w:r w:rsidR="007B51A0" w:rsidRPr="00963AA1">
        <w:t>8</w:t>
      </w:r>
      <w:r w:rsidRPr="00963AA1">
        <w:t>% of</w:t>
      </w:r>
      <w:r w:rsidR="00B55807" w:rsidRPr="00963AA1">
        <w:t xml:space="preserve"> those families identifying as Aboriginal and/or Torres Strait Islander. </w:t>
      </w:r>
    </w:p>
    <w:p w14:paraId="236CEDD8" w14:textId="04249F80" w:rsidR="005B408C" w:rsidRPr="00390577" w:rsidRDefault="005B408C" w:rsidP="005B408C">
      <w:pPr>
        <w:pStyle w:val="Caption"/>
        <w:rPr>
          <w:b w:val="0"/>
          <w:bCs/>
          <w:iCs w:val="0"/>
        </w:rPr>
      </w:pPr>
      <w:r>
        <w:t xml:space="preserve">Figure </w:t>
      </w:r>
      <w:r w:rsidR="006C1357">
        <w:fldChar w:fldCharType="begin"/>
      </w:r>
      <w:r w:rsidR="006C1357">
        <w:instrText xml:space="preserve"> SEQ Figure \* ARABIC </w:instrText>
      </w:r>
      <w:r w:rsidR="006C1357">
        <w:fldChar w:fldCharType="separate"/>
      </w:r>
      <w:r>
        <w:rPr>
          <w:noProof/>
        </w:rPr>
        <w:t>6</w:t>
      </w:r>
      <w:r w:rsidR="006C1357">
        <w:rPr>
          <w:noProof/>
        </w:rPr>
        <w:fldChar w:fldCharType="end"/>
      </w:r>
      <w:r>
        <w:t xml:space="preserve"> Aboriginal Families in Intervention Group</w:t>
      </w:r>
    </w:p>
    <w:p w14:paraId="29FC018F" w14:textId="4DEE2022" w:rsidR="004F079A" w:rsidRPr="00963AA1" w:rsidRDefault="004F079A" w:rsidP="009E6CEB">
      <w:pPr>
        <w:pStyle w:val="BodyText"/>
      </w:pPr>
      <w:r w:rsidRPr="00963AA1">
        <w:rPr>
          <w:noProof/>
        </w:rPr>
        <w:drawing>
          <wp:inline distT="0" distB="0" distL="0" distR="0" wp14:anchorId="4353A54C" wp14:editId="749D2557">
            <wp:extent cx="4367896" cy="2885440"/>
            <wp:effectExtent l="133350" t="114300" r="128270" b="162560"/>
            <wp:docPr id="12" name="Picture 12" descr="Pie graph showing 38 per cent of families in the intervention group identifying as Aboriginal and/or Torres Strait Is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ie graph showing 38 per cent of families in the intervention group identifying as Aboriginal and/or Torres Strait Islander."/>
                    <pic:cNvPicPr/>
                  </pic:nvPicPr>
                  <pic:blipFill>
                    <a:blip r:embed="rId23"/>
                    <a:stretch>
                      <a:fillRect/>
                    </a:stretch>
                  </pic:blipFill>
                  <pic:spPr>
                    <a:xfrm>
                      <a:off x="0" y="0"/>
                      <a:ext cx="4380848" cy="28939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309E820" w14:textId="77777777" w:rsidR="00A12456" w:rsidRPr="00963AA1" w:rsidRDefault="000D3EFF" w:rsidP="009E6CEB">
      <w:pPr>
        <w:pStyle w:val="BodyText"/>
      </w:pPr>
      <w:r w:rsidRPr="00963AA1">
        <w:t xml:space="preserve">Most of the families in </w:t>
      </w:r>
      <w:r w:rsidR="00D74D49" w:rsidRPr="00963AA1">
        <w:t xml:space="preserve">the Intervention Group </w:t>
      </w:r>
      <w:r w:rsidRPr="00963AA1">
        <w:t xml:space="preserve">have more than one child in the household, which is detailed in </w:t>
      </w:r>
      <w:r w:rsidRPr="00963AA1">
        <w:rPr>
          <w:i/>
          <w:iCs/>
        </w:rPr>
        <w:fldChar w:fldCharType="begin"/>
      </w:r>
      <w:r w:rsidRPr="00963AA1">
        <w:rPr>
          <w:i/>
          <w:iCs/>
        </w:rPr>
        <w:instrText xml:space="preserve"> REF _Ref142393299 \h </w:instrText>
      </w:r>
      <w:r w:rsidR="000705E1" w:rsidRPr="00963AA1">
        <w:rPr>
          <w:i/>
          <w:iCs/>
        </w:rPr>
        <w:instrText xml:space="preserve"> \* MERGEFORMAT </w:instrText>
      </w:r>
      <w:r w:rsidRPr="00963AA1">
        <w:rPr>
          <w:i/>
          <w:iCs/>
        </w:rPr>
      </w:r>
      <w:r w:rsidRPr="00963AA1">
        <w:rPr>
          <w:i/>
          <w:iCs/>
        </w:rPr>
        <w:fldChar w:fldCharType="separate"/>
      </w:r>
      <w:r w:rsidR="00D94D67" w:rsidRPr="00963AA1">
        <w:rPr>
          <w:i/>
          <w:iCs/>
        </w:rPr>
        <w:t>Figure 7: Number of Children in Household</w:t>
      </w:r>
      <w:r w:rsidRPr="00963AA1">
        <w:rPr>
          <w:i/>
          <w:iCs/>
        </w:rPr>
        <w:fldChar w:fldCharType="end"/>
      </w:r>
      <w:r w:rsidR="00D74D49" w:rsidRPr="00963AA1">
        <w:t>, with the majority of families referred in the reporting period having 2 children in the household.</w:t>
      </w:r>
    </w:p>
    <w:p w14:paraId="71E03E1C" w14:textId="3B92145F" w:rsidR="005B408C" w:rsidRPr="002C06BE" w:rsidRDefault="005B408C" w:rsidP="00D63B4E">
      <w:pPr>
        <w:pStyle w:val="Caption"/>
        <w:keepNext/>
        <w:rPr>
          <w:b w:val="0"/>
          <w:bCs/>
          <w:iCs w:val="0"/>
        </w:rPr>
      </w:pPr>
      <w:r>
        <w:lastRenderedPageBreak/>
        <w:t xml:space="preserve">Figure </w:t>
      </w:r>
      <w:r w:rsidR="006C1357">
        <w:fldChar w:fldCharType="begin"/>
      </w:r>
      <w:r w:rsidR="006C1357">
        <w:instrText xml:space="preserve"> SEQ Figure \* ARABIC </w:instrText>
      </w:r>
      <w:r w:rsidR="006C1357">
        <w:fldChar w:fldCharType="separate"/>
      </w:r>
      <w:r>
        <w:rPr>
          <w:noProof/>
        </w:rPr>
        <w:t>7</w:t>
      </w:r>
      <w:r w:rsidR="006C1357">
        <w:rPr>
          <w:noProof/>
        </w:rPr>
        <w:fldChar w:fldCharType="end"/>
      </w:r>
      <w:r>
        <w:t xml:space="preserve"> Number of Children in Household</w:t>
      </w:r>
    </w:p>
    <w:p w14:paraId="78111678" w14:textId="11BA2706" w:rsidR="004F079A" w:rsidRPr="00963AA1" w:rsidRDefault="004F079A" w:rsidP="009E6CEB">
      <w:pPr>
        <w:pStyle w:val="BodyText"/>
      </w:pPr>
      <w:r w:rsidRPr="00963AA1">
        <w:rPr>
          <w:noProof/>
        </w:rPr>
        <w:drawing>
          <wp:inline distT="0" distB="0" distL="0" distR="0" wp14:anchorId="2D77C987" wp14:editId="2331E4FB">
            <wp:extent cx="5607033" cy="3238500"/>
            <wp:effectExtent l="114300" t="114300" r="146685" b="152400"/>
            <wp:docPr id="13" name="Picture 13" descr="Pie chart showing the number of children in the household across the Intervention Group. 58 per cent of families have 1 or 2 children in the househo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ie chart showing the number of children in the household across the Intervention Group. 58 per cent of families have 1 or 2 children in the household. "/>
                    <pic:cNvPicPr/>
                  </pic:nvPicPr>
                  <pic:blipFill rotWithShape="1">
                    <a:blip r:embed="rId24"/>
                    <a:srcRect t="4471" b="9607"/>
                    <a:stretch/>
                  </pic:blipFill>
                  <pic:spPr bwMode="auto">
                    <a:xfrm>
                      <a:off x="0" y="0"/>
                      <a:ext cx="5636497" cy="325551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A5C63D4" w14:textId="0A4E8B9C" w:rsidR="00BF5610" w:rsidRPr="006A2B4C" w:rsidRDefault="00BF5610" w:rsidP="00F7682F">
      <w:pPr>
        <w:pStyle w:val="Heading3"/>
      </w:pPr>
      <w:bookmarkStart w:id="56" w:name="_Toc145935884"/>
      <w:bookmarkStart w:id="57" w:name="_Toc149817454"/>
      <w:r w:rsidRPr="006A2B4C">
        <w:t>Exclusions</w:t>
      </w:r>
      <w:bookmarkEnd w:id="50"/>
      <w:bookmarkEnd w:id="56"/>
      <w:bookmarkEnd w:id="57"/>
    </w:p>
    <w:p w14:paraId="549A4E8D" w14:textId="5DD4BCBF" w:rsidR="00C718A7" w:rsidRPr="00963AA1" w:rsidRDefault="00BF1FC4" w:rsidP="009E6CEB">
      <w:pPr>
        <w:pStyle w:val="BodyText"/>
      </w:pPr>
      <w:r w:rsidRPr="00963AA1">
        <w:t xml:space="preserve">Families may be excluded from </w:t>
      </w:r>
      <w:r w:rsidR="00D53C3D" w:rsidRPr="00D53C3D">
        <w:t>Resilient Families</w:t>
      </w:r>
      <w:r w:rsidR="00D93387">
        <w:t xml:space="preserve"> (RF)</w:t>
      </w:r>
      <w:r w:rsidR="00D53C3D">
        <w:t xml:space="preserve"> </w:t>
      </w:r>
      <w:r w:rsidR="00376887" w:rsidRPr="00963AA1">
        <w:t>during</w:t>
      </w:r>
      <w:r w:rsidRPr="00963AA1">
        <w:t xml:space="preserve"> service provision. </w:t>
      </w:r>
      <w:r w:rsidR="0039418E" w:rsidRPr="00963AA1">
        <w:rPr>
          <w:i/>
          <w:iCs/>
          <w:highlight w:val="yellow"/>
        </w:rPr>
        <w:fldChar w:fldCharType="begin"/>
      </w:r>
      <w:r w:rsidR="0039418E" w:rsidRPr="00963AA1">
        <w:rPr>
          <w:i/>
          <w:iCs/>
        </w:rPr>
        <w:instrText xml:space="preserve"> REF _Ref140317269 \h </w:instrText>
      </w:r>
      <w:r w:rsidR="000705E1" w:rsidRPr="00963AA1">
        <w:rPr>
          <w:i/>
          <w:iCs/>
          <w:highlight w:val="yellow"/>
        </w:rPr>
        <w:instrText xml:space="preserve"> \* MERGEFORMAT </w:instrText>
      </w:r>
      <w:r w:rsidR="0039418E" w:rsidRPr="00963AA1">
        <w:rPr>
          <w:i/>
          <w:iCs/>
          <w:highlight w:val="yellow"/>
        </w:rPr>
      </w:r>
      <w:r w:rsidR="0039418E" w:rsidRPr="00963AA1">
        <w:rPr>
          <w:i/>
          <w:iCs/>
          <w:highlight w:val="yellow"/>
        </w:rPr>
        <w:fldChar w:fldCharType="separate"/>
      </w:r>
      <w:r w:rsidR="00D94D67" w:rsidRPr="00963AA1">
        <w:rPr>
          <w:i/>
          <w:iCs/>
        </w:rPr>
        <w:t>Table 2: Summary of excluded families 2022</w:t>
      </w:r>
      <w:r w:rsidR="00CB5E00" w:rsidRPr="00963AA1">
        <w:rPr>
          <w:i/>
          <w:iCs/>
        </w:rPr>
        <w:t>–</w:t>
      </w:r>
      <w:r w:rsidR="00D94D67" w:rsidRPr="00963AA1">
        <w:rPr>
          <w:i/>
          <w:iCs/>
        </w:rPr>
        <w:t>23</w:t>
      </w:r>
      <w:r w:rsidR="0039418E" w:rsidRPr="00963AA1">
        <w:rPr>
          <w:i/>
          <w:iCs/>
          <w:highlight w:val="yellow"/>
        </w:rPr>
        <w:fldChar w:fldCharType="end"/>
      </w:r>
      <w:r w:rsidR="0039418E" w:rsidRPr="00963AA1">
        <w:t xml:space="preserve"> </w:t>
      </w:r>
      <w:r w:rsidRPr="00963AA1">
        <w:t>presents the various reasons</w:t>
      </w:r>
      <w:r w:rsidR="009B6910" w:rsidRPr="00963AA1">
        <w:t xml:space="preserve"> and number of families excluded for each </w:t>
      </w:r>
      <w:r w:rsidR="116D1F29" w:rsidRPr="00963AA1">
        <w:t xml:space="preserve">reason </w:t>
      </w:r>
      <w:r w:rsidR="009B6910" w:rsidRPr="00963AA1">
        <w:t>during the reporting period</w:t>
      </w:r>
      <w:r w:rsidRPr="00963AA1">
        <w:t xml:space="preserve">. When a family is excluded, a replacement referral </w:t>
      </w:r>
      <w:r w:rsidR="00BB3D4B" w:rsidRPr="00963AA1">
        <w:t xml:space="preserve">may be </w:t>
      </w:r>
      <w:r w:rsidR="1231FE44" w:rsidRPr="00963AA1">
        <w:t>requested</w:t>
      </w:r>
      <w:r w:rsidRPr="00963AA1">
        <w:t xml:space="preserve"> for an alternative family</w:t>
      </w:r>
      <w:r w:rsidR="00BB3D4B" w:rsidRPr="00963AA1">
        <w:t>, as per the rules within the Operations Manual</w:t>
      </w:r>
      <w:r w:rsidRPr="00963AA1">
        <w:t xml:space="preserve">. </w:t>
      </w:r>
    </w:p>
    <w:p w14:paraId="5AC705A5" w14:textId="3A71C1BE" w:rsidR="00571600" w:rsidRPr="00D93387" w:rsidRDefault="00571600" w:rsidP="00571600">
      <w:pPr>
        <w:pStyle w:val="Caption"/>
        <w:rPr>
          <w:b w:val="0"/>
          <w:bCs/>
        </w:rPr>
      </w:pPr>
      <w:bookmarkStart w:id="58" w:name="_Toc149828785"/>
      <w:r>
        <w:t xml:space="preserve">Table </w:t>
      </w:r>
      <w:r w:rsidR="006C1357">
        <w:fldChar w:fldCharType="begin"/>
      </w:r>
      <w:r w:rsidR="006C1357">
        <w:instrText xml:space="preserve"> SEQ Table \* ARABIC </w:instrText>
      </w:r>
      <w:r w:rsidR="006C1357">
        <w:fldChar w:fldCharType="separate"/>
      </w:r>
      <w:r w:rsidR="007203A7">
        <w:rPr>
          <w:noProof/>
        </w:rPr>
        <w:t>2</w:t>
      </w:r>
      <w:r w:rsidR="006C1357">
        <w:rPr>
          <w:noProof/>
        </w:rPr>
        <w:fldChar w:fldCharType="end"/>
      </w:r>
      <w:r>
        <w:t xml:space="preserve"> Summary of Excluded Families 2022–2023</w:t>
      </w:r>
      <w:bookmarkEnd w:id="58"/>
    </w:p>
    <w:tbl>
      <w:tblPr>
        <w:tblStyle w:val="TableGrid"/>
        <w:tblW w:w="4950" w:type="pct"/>
        <w:tblLook w:val="04A0" w:firstRow="1" w:lastRow="0" w:firstColumn="1" w:lastColumn="0" w:noHBand="0" w:noVBand="1"/>
      </w:tblPr>
      <w:tblGrid>
        <w:gridCol w:w="3681"/>
        <w:gridCol w:w="1931"/>
        <w:gridCol w:w="2798"/>
      </w:tblGrid>
      <w:tr w:rsidR="00D53C3D" w14:paraId="2A470C67" w14:textId="77777777" w:rsidTr="00202563">
        <w:trPr>
          <w:tblHeader/>
        </w:trPr>
        <w:tc>
          <w:tcPr>
            <w:tcW w:w="3681" w:type="dxa"/>
          </w:tcPr>
          <w:p w14:paraId="6CF83F99" w14:textId="223EBEE2" w:rsidR="00D53C3D" w:rsidRPr="003D6C1C" w:rsidRDefault="00D53C3D" w:rsidP="00880055">
            <w:pPr>
              <w:pStyle w:val="Table-Header"/>
            </w:pPr>
            <w:r w:rsidRPr="003D6C1C">
              <w:t>Exclusion code and reason</w:t>
            </w:r>
          </w:p>
        </w:tc>
        <w:tc>
          <w:tcPr>
            <w:tcW w:w="1931" w:type="dxa"/>
          </w:tcPr>
          <w:p w14:paraId="0AACC540" w14:textId="1781C589" w:rsidR="00D53C3D" w:rsidRDefault="00D53C3D" w:rsidP="00880055">
            <w:pPr>
              <w:pStyle w:val="Table-Header"/>
            </w:pPr>
            <w:r w:rsidRPr="00D53C3D">
              <w:t>Count of families</w:t>
            </w:r>
          </w:p>
        </w:tc>
        <w:tc>
          <w:tcPr>
            <w:tcW w:w="2798" w:type="dxa"/>
          </w:tcPr>
          <w:p w14:paraId="2117D4AF" w14:textId="48166D16" w:rsidR="00D53C3D" w:rsidRDefault="00D53C3D" w:rsidP="00880055">
            <w:pPr>
              <w:pStyle w:val="Table-Header"/>
            </w:pPr>
            <w:r w:rsidRPr="00D53C3D">
              <w:t>Time period</w:t>
            </w:r>
          </w:p>
        </w:tc>
      </w:tr>
      <w:tr w:rsidR="005D1AAF" w14:paraId="02AE7E00" w14:textId="77777777" w:rsidTr="00202563">
        <w:tc>
          <w:tcPr>
            <w:tcW w:w="3681" w:type="dxa"/>
            <w:vAlign w:val="center"/>
          </w:tcPr>
          <w:p w14:paraId="02B38232" w14:textId="74B99EE9" w:rsidR="005D1AAF" w:rsidRPr="003D6C1C" w:rsidRDefault="005D1AAF" w:rsidP="00880055">
            <w:pPr>
              <w:pStyle w:val="Table-Header"/>
            </w:pPr>
            <w:r w:rsidRPr="003D6C1C">
              <w:t>5.5.1 Ineligible</w:t>
            </w:r>
          </w:p>
        </w:tc>
        <w:tc>
          <w:tcPr>
            <w:tcW w:w="1931" w:type="dxa"/>
          </w:tcPr>
          <w:p w14:paraId="3B96632C" w14:textId="7EED52BB" w:rsidR="005D1AAF" w:rsidRPr="00D63B4E" w:rsidRDefault="0061123C" w:rsidP="00D63B4E">
            <w:pPr>
              <w:pStyle w:val="Table-Text"/>
              <w:tabs>
                <w:tab w:val="decimal" w:pos="1021"/>
              </w:tabs>
            </w:pPr>
            <w:r>
              <w:t>6</w:t>
            </w:r>
          </w:p>
        </w:tc>
        <w:tc>
          <w:tcPr>
            <w:tcW w:w="2798" w:type="dxa"/>
            <w:vAlign w:val="center"/>
          </w:tcPr>
          <w:p w14:paraId="136772DF" w14:textId="0E913A38" w:rsidR="005D1AAF" w:rsidRPr="00D63B4E" w:rsidRDefault="005D1AAF" w:rsidP="00D63B4E">
            <w:pPr>
              <w:pStyle w:val="Table-Text"/>
              <w:ind w:left="48"/>
            </w:pPr>
            <w:r w:rsidRPr="00D63B4E">
              <w:t>Within 4 weeks</w:t>
            </w:r>
          </w:p>
        </w:tc>
      </w:tr>
      <w:tr w:rsidR="005D1AAF" w14:paraId="7358B862" w14:textId="77777777" w:rsidTr="00202563">
        <w:tc>
          <w:tcPr>
            <w:tcW w:w="3681" w:type="dxa"/>
            <w:vAlign w:val="center"/>
          </w:tcPr>
          <w:p w14:paraId="7B24872F" w14:textId="10124337" w:rsidR="005D1AAF" w:rsidRPr="003D6C1C" w:rsidRDefault="005D1AAF" w:rsidP="00880055">
            <w:pPr>
              <w:pStyle w:val="Table-Header"/>
            </w:pPr>
            <w:r w:rsidRPr="003D6C1C">
              <w:t>5.5.3 Child placed in to care before engagement</w:t>
            </w:r>
          </w:p>
        </w:tc>
        <w:tc>
          <w:tcPr>
            <w:tcW w:w="1931" w:type="dxa"/>
          </w:tcPr>
          <w:p w14:paraId="43631754" w14:textId="3ECA0865" w:rsidR="005D1AAF" w:rsidRPr="00D63B4E" w:rsidRDefault="005D1AAF" w:rsidP="00D63B4E">
            <w:pPr>
              <w:pStyle w:val="Table-Text"/>
              <w:tabs>
                <w:tab w:val="decimal" w:pos="1021"/>
              </w:tabs>
            </w:pPr>
            <w:r w:rsidRPr="00D63B4E">
              <w:t>1</w:t>
            </w:r>
          </w:p>
        </w:tc>
        <w:tc>
          <w:tcPr>
            <w:tcW w:w="2798" w:type="dxa"/>
            <w:vAlign w:val="center"/>
          </w:tcPr>
          <w:p w14:paraId="4B82C8A8" w14:textId="74733342" w:rsidR="005D1AAF" w:rsidRPr="00D63B4E" w:rsidRDefault="005D1AAF" w:rsidP="00D63B4E">
            <w:pPr>
              <w:pStyle w:val="Table-Text"/>
              <w:ind w:left="48"/>
            </w:pPr>
            <w:r w:rsidRPr="00D63B4E">
              <w:t>Within 3 weeks</w:t>
            </w:r>
          </w:p>
        </w:tc>
      </w:tr>
      <w:tr w:rsidR="005D1AAF" w14:paraId="7B30B631" w14:textId="77777777" w:rsidTr="00202563">
        <w:tc>
          <w:tcPr>
            <w:tcW w:w="3681" w:type="dxa"/>
            <w:vAlign w:val="center"/>
          </w:tcPr>
          <w:p w14:paraId="36580C03" w14:textId="27A93E1E" w:rsidR="005D1AAF" w:rsidRPr="003D6C1C" w:rsidRDefault="005D1AAF" w:rsidP="00880055">
            <w:pPr>
              <w:pStyle w:val="Table-Header"/>
            </w:pPr>
            <w:r w:rsidRPr="003D6C1C">
              <w:t>5.5.4 Relocation of family</w:t>
            </w:r>
          </w:p>
        </w:tc>
        <w:tc>
          <w:tcPr>
            <w:tcW w:w="1931" w:type="dxa"/>
          </w:tcPr>
          <w:p w14:paraId="6AD18EA0" w14:textId="67B0D1A5" w:rsidR="005D1AAF" w:rsidRPr="00D63B4E" w:rsidRDefault="005D1AAF" w:rsidP="00D63B4E">
            <w:pPr>
              <w:pStyle w:val="Table-Text"/>
              <w:tabs>
                <w:tab w:val="decimal" w:pos="1021"/>
              </w:tabs>
            </w:pPr>
            <w:r w:rsidRPr="00D63B4E">
              <w:t>1</w:t>
            </w:r>
          </w:p>
        </w:tc>
        <w:tc>
          <w:tcPr>
            <w:tcW w:w="2798" w:type="dxa"/>
            <w:vAlign w:val="center"/>
          </w:tcPr>
          <w:p w14:paraId="04599188" w14:textId="02825EAB" w:rsidR="005D1AAF" w:rsidRPr="00D63B4E" w:rsidRDefault="005D1AAF" w:rsidP="00D63B4E">
            <w:pPr>
              <w:pStyle w:val="Table-Text"/>
              <w:ind w:left="48"/>
            </w:pPr>
            <w:r w:rsidRPr="00D63B4E">
              <w:t>Within 3 months</w:t>
            </w:r>
          </w:p>
        </w:tc>
      </w:tr>
      <w:tr w:rsidR="005D1AAF" w14:paraId="7D9CA49F" w14:textId="77777777" w:rsidTr="00202563">
        <w:tc>
          <w:tcPr>
            <w:tcW w:w="3681" w:type="dxa"/>
            <w:vAlign w:val="center"/>
          </w:tcPr>
          <w:p w14:paraId="00EE1C94" w14:textId="22C0D406" w:rsidR="005D1AAF" w:rsidRPr="003D6C1C" w:rsidRDefault="005D1AAF" w:rsidP="00880055">
            <w:pPr>
              <w:pStyle w:val="Table-Header"/>
            </w:pPr>
            <w:r w:rsidRPr="003D6C1C">
              <w:t>5.5.6 Lack of family engagement</w:t>
            </w:r>
          </w:p>
        </w:tc>
        <w:tc>
          <w:tcPr>
            <w:tcW w:w="1931" w:type="dxa"/>
          </w:tcPr>
          <w:p w14:paraId="49CB05F9" w14:textId="0567A7AC" w:rsidR="005D1AAF" w:rsidRPr="00D63B4E" w:rsidRDefault="005D1AAF" w:rsidP="00D63B4E">
            <w:pPr>
              <w:pStyle w:val="Table-Text"/>
              <w:tabs>
                <w:tab w:val="decimal" w:pos="1021"/>
              </w:tabs>
            </w:pPr>
            <w:r w:rsidRPr="00D63B4E">
              <w:t>1</w:t>
            </w:r>
          </w:p>
        </w:tc>
        <w:tc>
          <w:tcPr>
            <w:tcW w:w="2798" w:type="dxa"/>
            <w:vAlign w:val="center"/>
          </w:tcPr>
          <w:p w14:paraId="0CB101BF" w14:textId="5E768AFB" w:rsidR="005D1AAF" w:rsidRPr="00D63B4E" w:rsidRDefault="005D1AAF" w:rsidP="00D63B4E">
            <w:pPr>
              <w:pStyle w:val="Table-Text"/>
              <w:ind w:left="48"/>
            </w:pPr>
            <w:r w:rsidRPr="00D63B4E">
              <w:t>Within 4 weeks</w:t>
            </w:r>
          </w:p>
        </w:tc>
      </w:tr>
      <w:tr w:rsidR="005D1AAF" w14:paraId="6104324F" w14:textId="77777777" w:rsidTr="00202563">
        <w:tc>
          <w:tcPr>
            <w:tcW w:w="3681" w:type="dxa"/>
            <w:vAlign w:val="center"/>
          </w:tcPr>
          <w:p w14:paraId="77E67BA4" w14:textId="5A92BCD3" w:rsidR="005D1AAF" w:rsidRPr="003D6C1C" w:rsidRDefault="005D1AAF" w:rsidP="00880055">
            <w:pPr>
              <w:pStyle w:val="Table-Header"/>
            </w:pPr>
            <w:r w:rsidRPr="003D6C1C">
              <w:t>5.5.7 Disengagement of family</w:t>
            </w:r>
          </w:p>
        </w:tc>
        <w:tc>
          <w:tcPr>
            <w:tcW w:w="1931" w:type="dxa"/>
          </w:tcPr>
          <w:p w14:paraId="60224686" w14:textId="74982735" w:rsidR="005D1AAF" w:rsidRPr="00D63B4E" w:rsidRDefault="005D1AAF" w:rsidP="00D63B4E">
            <w:pPr>
              <w:pStyle w:val="Table-Text"/>
              <w:tabs>
                <w:tab w:val="decimal" w:pos="1021"/>
              </w:tabs>
            </w:pPr>
            <w:r w:rsidRPr="00D63B4E">
              <w:t>6</w:t>
            </w:r>
          </w:p>
        </w:tc>
        <w:tc>
          <w:tcPr>
            <w:tcW w:w="2798" w:type="dxa"/>
            <w:vAlign w:val="center"/>
          </w:tcPr>
          <w:p w14:paraId="1DF87DF0" w14:textId="04BE9642" w:rsidR="005D1AAF" w:rsidRPr="00D63B4E" w:rsidRDefault="005D1AAF" w:rsidP="00D63B4E">
            <w:pPr>
              <w:pStyle w:val="Table-Text"/>
              <w:ind w:left="48"/>
            </w:pPr>
            <w:r w:rsidRPr="00D63B4E">
              <w:t>After 4 weeks</w:t>
            </w:r>
          </w:p>
        </w:tc>
      </w:tr>
      <w:tr w:rsidR="005D1AAF" w14:paraId="19A434A4" w14:textId="77777777" w:rsidTr="00202563">
        <w:tc>
          <w:tcPr>
            <w:tcW w:w="3681" w:type="dxa"/>
            <w:vAlign w:val="center"/>
          </w:tcPr>
          <w:p w14:paraId="49CF9826" w14:textId="4A62D1E7" w:rsidR="005D1AAF" w:rsidRPr="003D6C1C" w:rsidRDefault="005D1AAF" w:rsidP="00880055">
            <w:pPr>
              <w:pStyle w:val="Table-Header"/>
            </w:pPr>
            <w:r w:rsidRPr="003D6C1C">
              <w:t>5.5.8 Services cannot be delivered</w:t>
            </w:r>
          </w:p>
        </w:tc>
        <w:tc>
          <w:tcPr>
            <w:tcW w:w="1931" w:type="dxa"/>
          </w:tcPr>
          <w:p w14:paraId="3C0CB9E7" w14:textId="0C24FF2A" w:rsidR="005D1AAF" w:rsidRPr="00D63B4E" w:rsidRDefault="005D1AAF" w:rsidP="00D63B4E">
            <w:pPr>
              <w:pStyle w:val="Table-Text"/>
              <w:tabs>
                <w:tab w:val="decimal" w:pos="1021"/>
              </w:tabs>
            </w:pPr>
            <w:r w:rsidRPr="00D63B4E">
              <w:t>1</w:t>
            </w:r>
          </w:p>
        </w:tc>
        <w:tc>
          <w:tcPr>
            <w:tcW w:w="2798" w:type="dxa"/>
            <w:vAlign w:val="center"/>
          </w:tcPr>
          <w:p w14:paraId="4F44B36D" w14:textId="1E9708A4" w:rsidR="005D1AAF" w:rsidRPr="00D63B4E" w:rsidRDefault="005D1AAF" w:rsidP="00D63B4E">
            <w:pPr>
              <w:pStyle w:val="Table-Text"/>
              <w:ind w:left="48"/>
            </w:pPr>
            <w:r w:rsidRPr="00D63B4E">
              <w:t>At any time</w:t>
            </w:r>
          </w:p>
        </w:tc>
      </w:tr>
      <w:tr w:rsidR="009A6F0E" w14:paraId="2E036855" w14:textId="77777777" w:rsidTr="00202563">
        <w:tc>
          <w:tcPr>
            <w:tcW w:w="3681" w:type="dxa"/>
            <w:vAlign w:val="center"/>
          </w:tcPr>
          <w:p w14:paraId="08379F48" w14:textId="4C1B704C" w:rsidR="009A6F0E" w:rsidRPr="003D6C1C" w:rsidRDefault="009A6F0E" w:rsidP="00880055">
            <w:pPr>
              <w:pStyle w:val="Table-Header"/>
            </w:pPr>
            <w:r w:rsidRPr="003D6C1C">
              <w:t>Total</w:t>
            </w:r>
          </w:p>
        </w:tc>
        <w:tc>
          <w:tcPr>
            <w:tcW w:w="1931" w:type="dxa"/>
          </w:tcPr>
          <w:p w14:paraId="58E65503" w14:textId="501ABD61" w:rsidR="009A6F0E" w:rsidRPr="00D63B4E" w:rsidRDefault="005D1AAF" w:rsidP="00D63B4E">
            <w:pPr>
              <w:pStyle w:val="Table-Text"/>
              <w:tabs>
                <w:tab w:val="decimal" w:pos="1021"/>
              </w:tabs>
            </w:pPr>
            <w:r w:rsidRPr="00D63B4E">
              <w:t>1</w:t>
            </w:r>
            <w:r w:rsidR="0061123C">
              <w:t>6</w:t>
            </w:r>
          </w:p>
        </w:tc>
        <w:tc>
          <w:tcPr>
            <w:tcW w:w="2798" w:type="dxa"/>
          </w:tcPr>
          <w:p w14:paraId="17583559" w14:textId="77777777" w:rsidR="009A6F0E" w:rsidRPr="00D63B4E" w:rsidRDefault="009A6F0E" w:rsidP="00D63B4E">
            <w:pPr>
              <w:pStyle w:val="Table-Text"/>
              <w:tabs>
                <w:tab w:val="decimal" w:pos="1021"/>
              </w:tabs>
            </w:pPr>
          </w:p>
        </w:tc>
      </w:tr>
    </w:tbl>
    <w:p w14:paraId="0AB560F9" w14:textId="77777777" w:rsidR="001A18C6" w:rsidRPr="006A2B4C" w:rsidRDefault="001A18C6" w:rsidP="003D3C42">
      <w:pPr>
        <w:pStyle w:val="BodyText"/>
      </w:pPr>
    </w:p>
    <w:p w14:paraId="3B84D3DC" w14:textId="23F94FF0" w:rsidR="00BF5610" w:rsidRPr="00963AA1" w:rsidRDefault="00317104" w:rsidP="009E6CEB">
      <w:pPr>
        <w:pStyle w:val="BodyText"/>
      </w:pPr>
      <w:r w:rsidRPr="00963AA1">
        <w:t>A total of 2</w:t>
      </w:r>
      <w:r w:rsidR="009F1518">
        <w:t>9</w:t>
      </w:r>
      <w:r w:rsidR="00BF1FC4" w:rsidRPr="00963AA1">
        <w:t xml:space="preserve"> families </w:t>
      </w:r>
      <w:r w:rsidRPr="00963AA1">
        <w:t xml:space="preserve">have been </w:t>
      </w:r>
      <w:r w:rsidR="00BF1FC4" w:rsidRPr="00963AA1">
        <w:t xml:space="preserve">excluded from the </w:t>
      </w:r>
      <w:r w:rsidR="007725BD" w:rsidRPr="00963AA1">
        <w:t xml:space="preserve">RF </w:t>
      </w:r>
      <w:r w:rsidR="00BF1FC4" w:rsidRPr="00963AA1">
        <w:t>program</w:t>
      </w:r>
      <w:r w:rsidR="007D3C1D" w:rsidRPr="00963AA1">
        <w:t xml:space="preserve"> since commencement, with </w:t>
      </w:r>
      <w:r w:rsidR="006E604A" w:rsidRPr="00963AA1">
        <w:t>1</w:t>
      </w:r>
      <w:r w:rsidR="009F1518">
        <w:t>6</w:t>
      </w:r>
      <w:r w:rsidR="00D26671" w:rsidRPr="00963AA1">
        <w:t xml:space="preserve"> of these recorded during the 2022</w:t>
      </w:r>
      <w:r w:rsidR="00CB5E00" w:rsidRPr="00963AA1">
        <w:t>–</w:t>
      </w:r>
      <w:r w:rsidR="00D26671" w:rsidRPr="00963AA1">
        <w:t>23 reporting period</w:t>
      </w:r>
      <w:r w:rsidR="007D3C1D" w:rsidRPr="00963AA1">
        <w:t>.</w:t>
      </w:r>
      <w:r w:rsidR="00991623" w:rsidRPr="00963AA1">
        <w:t xml:space="preserve"> </w:t>
      </w:r>
    </w:p>
    <w:p w14:paraId="2C2C6F95" w14:textId="2657A170" w:rsidR="000A154D" w:rsidRPr="00963AA1" w:rsidRDefault="000A154D" w:rsidP="009E6CEB">
      <w:pPr>
        <w:pStyle w:val="BodyText"/>
      </w:pPr>
      <w:r w:rsidRPr="00963AA1">
        <w:lastRenderedPageBreak/>
        <w:t xml:space="preserve">All families excluded from the </w:t>
      </w:r>
      <w:r w:rsidR="007F7E3B" w:rsidRPr="00D53C3D">
        <w:t>Resilient Families</w:t>
      </w:r>
      <w:r w:rsidR="007F7E3B">
        <w:t xml:space="preserve"> (RF)</w:t>
      </w:r>
      <w:r w:rsidR="007F7E3B">
        <w:t xml:space="preserve"> </w:t>
      </w:r>
      <w:r w:rsidRPr="00963AA1">
        <w:t xml:space="preserve">program are communicated to </w:t>
      </w:r>
      <w:r w:rsidR="00333167" w:rsidRPr="00333167">
        <w:t>Department for Child Protection</w:t>
      </w:r>
      <w:r w:rsidR="00333167">
        <w:t xml:space="preserve"> </w:t>
      </w:r>
      <w:r w:rsidR="00F85F90">
        <w:t xml:space="preserve">(DCP) </w:t>
      </w:r>
      <w:r w:rsidRPr="00963AA1">
        <w:t>so that appropriate escalation or other services can be considered to support the family.</w:t>
      </w:r>
    </w:p>
    <w:p w14:paraId="710E56BC" w14:textId="0C325367" w:rsidR="007B6248" w:rsidRPr="00F30925" w:rsidRDefault="007B6248" w:rsidP="00F7682F">
      <w:pPr>
        <w:pStyle w:val="Heading4"/>
      </w:pPr>
      <w:bookmarkStart w:id="59" w:name="_Toc145935885"/>
      <w:r w:rsidRPr="00F30925">
        <w:t>Non</w:t>
      </w:r>
      <w:r w:rsidR="006D1D4D">
        <w:t>-</w:t>
      </w:r>
      <w:r w:rsidR="0020379C" w:rsidRPr="00F30925">
        <w:t>p</w:t>
      </w:r>
      <w:r w:rsidRPr="00F30925">
        <w:t xml:space="preserve">articipant </w:t>
      </w:r>
      <w:r w:rsidR="0020379C" w:rsidRPr="00F30925">
        <w:t>f</w:t>
      </w:r>
      <w:r w:rsidRPr="00F30925">
        <w:t>amilies</w:t>
      </w:r>
      <w:bookmarkEnd w:id="59"/>
    </w:p>
    <w:p w14:paraId="297521C5" w14:textId="1F3B0C29" w:rsidR="00F65F85" w:rsidRDefault="003731D7" w:rsidP="009E6CEB">
      <w:pPr>
        <w:pStyle w:val="BodyText"/>
      </w:pPr>
      <w:r w:rsidRPr="00963AA1">
        <w:t xml:space="preserve">Families that are excluded from the program due to a withdrawal of their consent are known as non-participant families and excluded under code 5.5.7. </w:t>
      </w:r>
      <w:r w:rsidR="007B6248" w:rsidRPr="00963AA1">
        <w:t xml:space="preserve">As shown in </w:t>
      </w:r>
      <w:r w:rsidR="007B6248" w:rsidRPr="00963AA1">
        <w:rPr>
          <w:i/>
          <w:iCs/>
        </w:rPr>
        <w:fldChar w:fldCharType="begin"/>
      </w:r>
      <w:r w:rsidR="007B6248" w:rsidRPr="00963AA1">
        <w:rPr>
          <w:i/>
          <w:iCs/>
        </w:rPr>
        <w:instrText xml:space="preserve"> REF _Ref140317269 \h </w:instrText>
      </w:r>
      <w:r w:rsidR="000705E1" w:rsidRPr="00963AA1">
        <w:rPr>
          <w:i/>
          <w:iCs/>
        </w:rPr>
        <w:instrText xml:space="preserve"> \* MERGEFORMAT </w:instrText>
      </w:r>
      <w:r w:rsidR="007B6248" w:rsidRPr="00963AA1">
        <w:rPr>
          <w:i/>
          <w:iCs/>
        </w:rPr>
      </w:r>
      <w:r w:rsidR="007B6248" w:rsidRPr="00963AA1">
        <w:rPr>
          <w:i/>
          <w:iCs/>
        </w:rPr>
        <w:fldChar w:fldCharType="separate"/>
      </w:r>
      <w:r w:rsidR="00D94D67" w:rsidRPr="00963AA1">
        <w:rPr>
          <w:i/>
          <w:iCs/>
        </w:rPr>
        <w:t>Table 2: Summary of excluded families 2022</w:t>
      </w:r>
      <w:r w:rsidR="000B76B8" w:rsidRPr="00963AA1">
        <w:rPr>
          <w:i/>
          <w:iCs/>
        </w:rPr>
        <w:t>–</w:t>
      </w:r>
      <w:r w:rsidR="00D94D67" w:rsidRPr="00963AA1">
        <w:rPr>
          <w:i/>
          <w:iCs/>
        </w:rPr>
        <w:t>23</w:t>
      </w:r>
      <w:r w:rsidR="007B6248" w:rsidRPr="00963AA1">
        <w:rPr>
          <w:i/>
          <w:iCs/>
        </w:rPr>
        <w:fldChar w:fldCharType="end"/>
      </w:r>
      <w:r w:rsidR="007B6248" w:rsidRPr="00963AA1">
        <w:t xml:space="preserve">, 5 families </w:t>
      </w:r>
      <w:r w:rsidR="008271DA" w:rsidRPr="00963AA1">
        <w:t>were</w:t>
      </w:r>
      <w:r w:rsidRPr="00963AA1">
        <w:t xml:space="preserve"> excluded for this </w:t>
      </w:r>
      <w:r w:rsidR="001A6FAD" w:rsidRPr="00963AA1">
        <w:t xml:space="preserve">reason during the reporting period and further detail on these families and the exclusions is provided in </w:t>
      </w:r>
      <w:r w:rsidR="0026355D" w:rsidRPr="00963AA1">
        <w:rPr>
          <w:i/>
          <w:iCs/>
        </w:rPr>
        <w:fldChar w:fldCharType="begin"/>
      </w:r>
      <w:r w:rsidR="0026355D" w:rsidRPr="00963AA1">
        <w:rPr>
          <w:i/>
          <w:iCs/>
        </w:rPr>
        <w:instrText xml:space="preserve"> REF _Ref143070285 \h </w:instrText>
      </w:r>
      <w:r w:rsidR="000705E1" w:rsidRPr="00963AA1">
        <w:rPr>
          <w:i/>
          <w:iCs/>
        </w:rPr>
        <w:instrText xml:space="preserve"> \* MERGEFORMAT </w:instrText>
      </w:r>
      <w:r w:rsidR="0026355D" w:rsidRPr="00963AA1">
        <w:rPr>
          <w:i/>
          <w:iCs/>
        </w:rPr>
      </w:r>
      <w:r w:rsidR="0026355D" w:rsidRPr="00963AA1">
        <w:rPr>
          <w:i/>
          <w:iCs/>
        </w:rPr>
        <w:fldChar w:fldCharType="separate"/>
      </w:r>
      <w:r w:rsidR="00D94D67" w:rsidRPr="00963AA1">
        <w:rPr>
          <w:i/>
          <w:iCs/>
        </w:rPr>
        <w:t>Table 3: Non-Participant Families</w:t>
      </w:r>
      <w:r w:rsidR="0026355D" w:rsidRPr="00963AA1">
        <w:rPr>
          <w:i/>
          <w:iCs/>
        </w:rPr>
        <w:fldChar w:fldCharType="end"/>
      </w:r>
      <w:r w:rsidR="001A6FAD" w:rsidRPr="00963AA1">
        <w:t>.</w:t>
      </w:r>
    </w:p>
    <w:p w14:paraId="6256A27A" w14:textId="2A05B015" w:rsidR="00D63B4E" w:rsidRPr="00963AA1" w:rsidRDefault="000F528D" w:rsidP="000F528D">
      <w:pPr>
        <w:pStyle w:val="Caption"/>
      </w:pPr>
      <w:bookmarkStart w:id="60" w:name="_Toc149828786"/>
      <w:r>
        <w:t xml:space="preserve">Table </w:t>
      </w:r>
      <w:r w:rsidR="006C1357">
        <w:fldChar w:fldCharType="begin"/>
      </w:r>
      <w:r w:rsidR="006C1357">
        <w:instrText xml:space="preserve"> SEQ Table \* ARABIC </w:instrText>
      </w:r>
      <w:r w:rsidR="006C1357">
        <w:fldChar w:fldCharType="separate"/>
      </w:r>
      <w:r w:rsidR="007203A7">
        <w:rPr>
          <w:noProof/>
        </w:rPr>
        <w:t>3</w:t>
      </w:r>
      <w:r w:rsidR="006C1357">
        <w:rPr>
          <w:noProof/>
        </w:rPr>
        <w:fldChar w:fldCharType="end"/>
      </w:r>
      <w:r>
        <w:t xml:space="preserve"> Non-Participant Families</w:t>
      </w:r>
      <w:bookmarkEnd w:id="60"/>
    </w:p>
    <w:tbl>
      <w:tblPr>
        <w:tblStyle w:val="TableGrid"/>
        <w:tblW w:w="4950" w:type="pct"/>
        <w:tblLook w:val="04A0" w:firstRow="1" w:lastRow="0" w:firstColumn="1" w:lastColumn="0" w:noHBand="0" w:noVBand="1"/>
      </w:tblPr>
      <w:tblGrid>
        <w:gridCol w:w="1116"/>
        <w:gridCol w:w="1414"/>
        <w:gridCol w:w="1375"/>
        <w:gridCol w:w="1190"/>
        <w:gridCol w:w="3315"/>
      </w:tblGrid>
      <w:tr w:rsidR="003D6C1C" w:rsidRPr="003D6C1C" w14:paraId="3BD39EDB" w14:textId="77777777" w:rsidTr="000F528D">
        <w:tc>
          <w:tcPr>
            <w:tcW w:w="1116" w:type="dxa"/>
          </w:tcPr>
          <w:p w14:paraId="6476CFE1" w14:textId="73787A6B" w:rsidR="00333167" w:rsidRPr="003D6C1C" w:rsidRDefault="00247A88" w:rsidP="00880055">
            <w:pPr>
              <w:pStyle w:val="Table-Header"/>
            </w:pPr>
            <w:r w:rsidRPr="003D6C1C">
              <w:t xml:space="preserve">Referral </w:t>
            </w:r>
            <w:r w:rsidR="00097DCB">
              <w:t>P</w:t>
            </w:r>
            <w:r w:rsidRPr="003D6C1C">
              <w:t>eriod</w:t>
            </w:r>
          </w:p>
        </w:tc>
        <w:tc>
          <w:tcPr>
            <w:tcW w:w="1414" w:type="dxa"/>
          </w:tcPr>
          <w:p w14:paraId="3D11E120" w14:textId="649065C0" w:rsidR="00333167" w:rsidRPr="003D6C1C" w:rsidRDefault="00247A88" w:rsidP="00880055">
            <w:pPr>
              <w:pStyle w:val="Table-Header"/>
            </w:pPr>
            <w:r w:rsidRPr="003D6C1C">
              <w:t xml:space="preserve">Referral </w:t>
            </w:r>
            <w:r w:rsidR="00097DCB">
              <w:t>D</w:t>
            </w:r>
            <w:r w:rsidRPr="003D6C1C">
              <w:t>ate</w:t>
            </w:r>
          </w:p>
        </w:tc>
        <w:tc>
          <w:tcPr>
            <w:tcW w:w="1375" w:type="dxa"/>
          </w:tcPr>
          <w:p w14:paraId="71F66229" w14:textId="13C66BC5" w:rsidR="00333167" w:rsidRPr="003D6C1C" w:rsidRDefault="00247A88" w:rsidP="00880055">
            <w:pPr>
              <w:pStyle w:val="Table-Header"/>
            </w:pPr>
            <w:r w:rsidRPr="003D6C1C">
              <w:t xml:space="preserve">Closure </w:t>
            </w:r>
            <w:r w:rsidR="00097DCB">
              <w:t>D</w:t>
            </w:r>
            <w:r w:rsidRPr="003D6C1C">
              <w:t>ate</w:t>
            </w:r>
          </w:p>
        </w:tc>
        <w:tc>
          <w:tcPr>
            <w:tcW w:w="1190" w:type="dxa"/>
          </w:tcPr>
          <w:p w14:paraId="1420C16C" w14:textId="1E0A63BA" w:rsidR="00333167" w:rsidRPr="003D6C1C" w:rsidRDefault="00247A88" w:rsidP="00880055">
            <w:pPr>
              <w:pStyle w:val="Table-Header"/>
            </w:pPr>
            <w:r w:rsidRPr="003D6C1C">
              <w:t>Referral ID #</w:t>
            </w:r>
          </w:p>
        </w:tc>
        <w:tc>
          <w:tcPr>
            <w:tcW w:w="3315" w:type="dxa"/>
          </w:tcPr>
          <w:p w14:paraId="47A90FE5" w14:textId="47317455" w:rsidR="00333167" w:rsidRPr="003D6C1C" w:rsidRDefault="00247A88" w:rsidP="00880055">
            <w:pPr>
              <w:pStyle w:val="Table-Header"/>
            </w:pPr>
            <w:r w:rsidRPr="003D6C1C">
              <w:t xml:space="preserve">Case </w:t>
            </w:r>
            <w:r w:rsidR="00097DCB">
              <w:t>C</w:t>
            </w:r>
            <w:r w:rsidRPr="003D6C1C">
              <w:t xml:space="preserve">losure </w:t>
            </w:r>
            <w:r w:rsidR="00097DCB">
              <w:t>C</w:t>
            </w:r>
            <w:r w:rsidRPr="003D6C1C">
              <w:t>omment</w:t>
            </w:r>
          </w:p>
        </w:tc>
      </w:tr>
      <w:tr w:rsidR="00937262" w14:paraId="37F038BA" w14:textId="77777777" w:rsidTr="000F528D">
        <w:tc>
          <w:tcPr>
            <w:tcW w:w="1116" w:type="dxa"/>
          </w:tcPr>
          <w:p w14:paraId="40820928" w14:textId="56A9295D" w:rsidR="00937262" w:rsidRDefault="00937262" w:rsidP="009428A7">
            <w:pPr>
              <w:pStyle w:val="Table-Header"/>
            </w:pPr>
            <w:r>
              <w:t>Period 4</w:t>
            </w:r>
          </w:p>
        </w:tc>
        <w:tc>
          <w:tcPr>
            <w:tcW w:w="1414" w:type="dxa"/>
          </w:tcPr>
          <w:p w14:paraId="57A615F4" w14:textId="42638853" w:rsidR="00937262" w:rsidRDefault="00937262" w:rsidP="009428A7">
            <w:pPr>
              <w:pStyle w:val="Table-Text"/>
            </w:pPr>
            <w:r w:rsidRPr="005F0459">
              <w:t>16/05/2022</w:t>
            </w:r>
          </w:p>
        </w:tc>
        <w:tc>
          <w:tcPr>
            <w:tcW w:w="1375" w:type="dxa"/>
          </w:tcPr>
          <w:p w14:paraId="19A503FD" w14:textId="7F71B25D" w:rsidR="00937262" w:rsidRDefault="00937262" w:rsidP="009428A7">
            <w:pPr>
              <w:pStyle w:val="Table-Text"/>
            </w:pPr>
            <w:r w:rsidRPr="005F0459">
              <w:t>9/02/2023</w:t>
            </w:r>
          </w:p>
        </w:tc>
        <w:tc>
          <w:tcPr>
            <w:tcW w:w="1190" w:type="dxa"/>
          </w:tcPr>
          <w:p w14:paraId="6A96CC49" w14:textId="47D48E4C" w:rsidR="00937262" w:rsidRDefault="00937262" w:rsidP="009428A7">
            <w:pPr>
              <w:pStyle w:val="Table-Text"/>
            </w:pPr>
            <w:r w:rsidRPr="005F0459">
              <w:t>15278012</w:t>
            </w:r>
          </w:p>
        </w:tc>
        <w:tc>
          <w:tcPr>
            <w:tcW w:w="3315" w:type="dxa"/>
          </w:tcPr>
          <w:p w14:paraId="36280262" w14:textId="650B141A" w:rsidR="00937262" w:rsidRDefault="00937262" w:rsidP="009428A7">
            <w:pPr>
              <w:pStyle w:val="Table-Text"/>
            </w:pPr>
            <w:r w:rsidRPr="005F0459">
              <w:t xml:space="preserve">Ineligible due to suspected abuse, case closed and referred to </w:t>
            </w:r>
            <w:r w:rsidR="00BA0AB5" w:rsidRPr="00BA0AB5">
              <w:t xml:space="preserve">Child Protection Services </w:t>
            </w:r>
            <w:r w:rsidRPr="005F0459">
              <w:t>and SA</w:t>
            </w:r>
            <w:r w:rsidR="00476F4D">
              <w:t xml:space="preserve"> Police.</w:t>
            </w:r>
          </w:p>
        </w:tc>
      </w:tr>
      <w:tr w:rsidR="00937262" w14:paraId="2E331832" w14:textId="77777777" w:rsidTr="000F528D">
        <w:tc>
          <w:tcPr>
            <w:tcW w:w="1116" w:type="dxa"/>
          </w:tcPr>
          <w:p w14:paraId="15BD0A38" w14:textId="5D63F653" w:rsidR="00937262" w:rsidRDefault="00937262" w:rsidP="009428A7">
            <w:pPr>
              <w:pStyle w:val="Table-Header"/>
            </w:pPr>
            <w:r>
              <w:t>Period 5</w:t>
            </w:r>
          </w:p>
        </w:tc>
        <w:tc>
          <w:tcPr>
            <w:tcW w:w="1414" w:type="dxa"/>
          </w:tcPr>
          <w:p w14:paraId="103DC73C" w14:textId="534E9672" w:rsidR="00937262" w:rsidRDefault="00937262" w:rsidP="009428A7">
            <w:pPr>
              <w:pStyle w:val="Table-Text"/>
            </w:pPr>
            <w:r w:rsidRPr="005F0459">
              <w:t>4/08/2022</w:t>
            </w:r>
          </w:p>
        </w:tc>
        <w:tc>
          <w:tcPr>
            <w:tcW w:w="1375" w:type="dxa"/>
          </w:tcPr>
          <w:p w14:paraId="2D1107D0" w14:textId="08EE6FCE" w:rsidR="00937262" w:rsidRDefault="00937262" w:rsidP="009428A7">
            <w:pPr>
              <w:pStyle w:val="Table-Text"/>
            </w:pPr>
            <w:r w:rsidRPr="005F0459">
              <w:t>2/11/2022</w:t>
            </w:r>
          </w:p>
        </w:tc>
        <w:tc>
          <w:tcPr>
            <w:tcW w:w="1190" w:type="dxa"/>
          </w:tcPr>
          <w:p w14:paraId="01658731" w14:textId="3E43E3E3" w:rsidR="00937262" w:rsidRDefault="00937262" w:rsidP="009428A7">
            <w:pPr>
              <w:pStyle w:val="Table-Text"/>
            </w:pPr>
            <w:r w:rsidRPr="005F0459">
              <w:t>16212733</w:t>
            </w:r>
          </w:p>
        </w:tc>
        <w:tc>
          <w:tcPr>
            <w:tcW w:w="3315" w:type="dxa"/>
          </w:tcPr>
          <w:p w14:paraId="2F000100" w14:textId="4D8A6231" w:rsidR="00937262" w:rsidRDefault="00937262" w:rsidP="009428A7">
            <w:pPr>
              <w:pStyle w:val="Table-Text"/>
            </w:pPr>
            <w:r w:rsidRPr="005F0459">
              <w:t>Family disengaged after 4 weeks.</w:t>
            </w:r>
          </w:p>
        </w:tc>
      </w:tr>
      <w:tr w:rsidR="00937262" w14:paraId="23E55A50" w14:textId="77777777" w:rsidTr="000F528D">
        <w:tc>
          <w:tcPr>
            <w:tcW w:w="1116" w:type="dxa"/>
          </w:tcPr>
          <w:p w14:paraId="7934082B" w14:textId="5B8A12A3" w:rsidR="00937262" w:rsidRDefault="00937262" w:rsidP="009428A7">
            <w:pPr>
              <w:pStyle w:val="Table-Header"/>
            </w:pPr>
            <w:r>
              <w:t>Period 5</w:t>
            </w:r>
          </w:p>
        </w:tc>
        <w:tc>
          <w:tcPr>
            <w:tcW w:w="1414" w:type="dxa"/>
          </w:tcPr>
          <w:p w14:paraId="5C2A658C" w14:textId="50E5CCC3" w:rsidR="00937262" w:rsidRDefault="00937262" w:rsidP="009428A7">
            <w:pPr>
              <w:pStyle w:val="Table-Text"/>
            </w:pPr>
            <w:r w:rsidRPr="005F0459">
              <w:t>4/08/2022</w:t>
            </w:r>
          </w:p>
        </w:tc>
        <w:tc>
          <w:tcPr>
            <w:tcW w:w="1375" w:type="dxa"/>
          </w:tcPr>
          <w:p w14:paraId="6186A11F" w14:textId="1AED4250" w:rsidR="00937262" w:rsidRDefault="00937262" w:rsidP="009428A7">
            <w:pPr>
              <w:pStyle w:val="Table-Text"/>
            </w:pPr>
            <w:r w:rsidRPr="005F0459">
              <w:t>2/06/2023</w:t>
            </w:r>
          </w:p>
        </w:tc>
        <w:tc>
          <w:tcPr>
            <w:tcW w:w="1190" w:type="dxa"/>
          </w:tcPr>
          <w:p w14:paraId="04E0065F" w14:textId="1B15B901" w:rsidR="00937262" w:rsidRDefault="00937262" w:rsidP="009428A7">
            <w:pPr>
              <w:pStyle w:val="Table-Text"/>
            </w:pPr>
            <w:r w:rsidRPr="005F0459">
              <w:t>16214725</w:t>
            </w:r>
          </w:p>
        </w:tc>
        <w:tc>
          <w:tcPr>
            <w:tcW w:w="3315" w:type="dxa"/>
          </w:tcPr>
          <w:p w14:paraId="21611167" w14:textId="2B6708D9" w:rsidR="00937262" w:rsidRDefault="00937262" w:rsidP="009428A7">
            <w:pPr>
              <w:pStyle w:val="Table-Text"/>
            </w:pPr>
            <w:r w:rsidRPr="005F0459">
              <w:t>Family disengaged after 4 weeks.</w:t>
            </w:r>
          </w:p>
        </w:tc>
      </w:tr>
      <w:tr w:rsidR="00937262" w14:paraId="559D612C" w14:textId="77777777" w:rsidTr="000F528D">
        <w:tc>
          <w:tcPr>
            <w:tcW w:w="1116" w:type="dxa"/>
          </w:tcPr>
          <w:p w14:paraId="074F8725" w14:textId="4EEB59B8" w:rsidR="00937262" w:rsidRDefault="00937262" w:rsidP="009428A7">
            <w:pPr>
              <w:pStyle w:val="Table-Header"/>
            </w:pPr>
            <w:r>
              <w:t>Period 5</w:t>
            </w:r>
          </w:p>
        </w:tc>
        <w:tc>
          <w:tcPr>
            <w:tcW w:w="1414" w:type="dxa"/>
          </w:tcPr>
          <w:p w14:paraId="1100486C" w14:textId="2ACB2A20" w:rsidR="00937262" w:rsidRDefault="00937262" w:rsidP="009428A7">
            <w:pPr>
              <w:pStyle w:val="Table-Text"/>
            </w:pPr>
            <w:r w:rsidRPr="005F0459">
              <w:t>9/08/2022</w:t>
            </w:r>
          </w:p>
        </w:tc>
        <w:tc>
          <w:tcPr>
            <w:tcW w:w="1375" w:type="dxa"/>
          </w:tcPr>
          <w:p w14:paraId="52E710A1" w14:textId="4F1BD76E" w:rsidR="00937262" w:rsidRDefault="00937262" w:rsidP="009428A7">
            <w:pPr>
              <w:pStyle w:val="Table-Text"/>
            </w:pPr>
            <w:r w:rsidRPr="005F0459">
              <w:t>15/03/2023</w:t>
            </w:r>
          </w:p>
        </w:tc>
        <w:tc>
          <w:tcPr>
            <w:tcW w:w="1190" w:type="dxa"/>
          </w:tcPr>
          <w:p w14:paraId="0575CF94" w14:textId="7A246D93" w:rsidR="00937262" w:rsidRDefault="00937262" w:rsidP="009428A7">
            <w:pPr>
              <w:pStyle w:val="Table-Text"/>
            </w:pPr>
            <w:r w:rsidRPr="005F0459">
              <w:t>16320466</w:t>
            </w:r>
          </w:p>
        </w:tc>
        <w:tc>
          <w:tcPr>
            <w:tcW w:w="3315" w:type="dxa"/>
          </w:tcPr>
          <w:p w14:paraId="13A90123" w14:textId="628C9FB4" w:rsidR="00937262" w:rsidRDefault="00937262" w:rsidP="009428A7">
            <w:pPr>
              <w:pStyle w:val="Table-Text"/>
            </w:pPr>
            <w:r w:rsidRPr="005F0459">
              <w:t>Family disengaged after 4 weeks</w:t>
            </w:r>
          </w:p>
        </w:tc>
      </w:tr>
      <w:tr w:rsidR="003D6C1C" w14:paraId="6ED4CC03" w14:textId="77777777" w:rsidTr="000F528D">
        <w:tc>
          <w:tcPr>
            <w:tcW w:w="1116" w:type="dxa"/>
          </w:tcPr>
          <w:p w14:paraId="6C94BF01" w14:textId="19F1BA5D" w:rsidR="003D6C1C" w:rsidRDefault="003D6C1C" w:rsidP="009428A7">
            <w:pPr>
              <w:pStyle w:val="Table-Header"/>
            </w:pPr>
            <w:r>
              <w:t>Period 6</w:t>
            </w:r>
          </w:p>
        </w:tc>
        <w:tc>
          <w:tcPr>
            <w:tcW w:w="1414" w:type="dxa"/>
          </w:tcPr>
          <w:p w14:paraId="217072DD" w14:textId="796CD09E" w:rsidR="003D6C1C" w:rsidRDefault="003D6C1C" w:rsidP="009428A7">
            <w:pPr>
              <w:pStyle w:val="Table-Text"/>
            </w:pPr>
            <w:r w:rsidRPr="00576696">
              <w:t>31/10/2022</w:t>
            </w:r>
          </w:p>
        </w:tc>
        <w:tc>
          <w:tcPr>
            <w:tcW w:w="1375" w:type="dxa"/>
          </w:tcPr>
          <w:p w14:paraId="71F35888" w14:textId="5E8C332F" w:rsidR="003D6C1C" w:rsidRDefault="003D6C1C" w:rsidP="009428A7">
            <w:pPr>
              <w:pStyle w:val="Table-Text"/>
            </w:pPr>
            <w:r w:rsidRPr="00576696">
              <w:t>10/01/2023</w:t>
            </w:r>
          </w:p>
        </w:tc>
        <w:tc>
          <w:tcPr>
            <w:tcW w:w="1190" w:type="dxa"/>
          </w:tcPr>
          <w:p w14:paraId="1F9847DA" w14:textId="43948098" w:rsidR="003D6C1C" w:rsidRDefault="003D6C1C" w:rsidP="009428A7">
            <w:pPr>
              <w:pStyle w:val="Table-Text"/>
            </w:pPr>
            <w:r w:rsidRPr="00576696">
              <w:t>16841926</w:t>
            </w:r>
          </w:p>
        </w:tc>
        <w:tc>
          <w:tcPr>
            <w:tcW w:w="3315" w:type="dxa"/>
          </w:tcPr>
          <w:p w14:paraId="30094625" w14:textId="33161DFD" w:rsidR="003D6C1C" w:rsidRDefault="003D6C1C" w:rsidP="009428A7">
            <w:pPr>
              <w:pStyle w:val="Table-Text"/>
            </w:pPr>
            <w:r w:rsidRPr="00576696">
              <w:t>Family withdrew their consent to engage with RF approximately 9 weeks after referral. It is noted the mother in this family has severe mental health issues.</w:t>
            </w:r>
          </w:p>
        </w:tc>
      </w:tr>
      <w:tr w:rsidR="003D6C1C" w14:paraId="57325417" w14:textId="77777777" w:rsidTr="000F528D">
        <w:tc>
          <w:tcPr>
            <w:tcW w:w="1116" w:type="dxa"/>
          </w:tcPr>
          <w:p w14:paraId="0BDB5E83" w14:textId="7F4FDFCF" w:rsidR="003D6C1C" w:rsidRDefault="003D6C1C" w:rsidP="009428A7">
            <w:pPr>
              <w:pStyle w:val="Table-Header"/>
            </w:pPr>
            <w:r>
              <w:t>Period 6</w:t>
            </w:r>
          </w:p>
        </w:tc>
        <w:tc>
          <w:tcPr>
            <w:tcW w:w="1414" w:type="dxa"/>
          </w:tcPr>
          <w:p w14:paraId="79C58165" w14:textId="7289336C" w:rsidR="003D6C1C" w:rsidRDefault="003D6C1C" w:rsidP="009428A7">
            <w:pPr>
              <w:pStyle w:val="Table-Text"/>
            </w:pPr>
            <w:r w:rsidRPr="00576696">
              <w:t>1/11/2022</w:t>
            </w:r>
          </w:p>
        </w:tc>
        <w:tc>
          <w:tcPr>
            <w:tcW w:w="1375" w:type="dxa"/>
          </w:tcPr>
          <w:p w14:paraId="2901F1EC" w14:textId="14869F23" w:rsidR="003D6C1C" w:rsidRDefault="003D6C1C" w:rsidP="009428A7">
            <w:pPr>
              <w:pStyle w:val="Table-Text"/>
            </w:pPr>
            <w:r w:rsidRPr="00576696">
              <w:t>26/04/2023</w:t>
            </w:r>
          </w:p>
        </w:tc>
        <w:tc>
          <w:tcPr>
            <w:tcW w:w="1190" w:type="dxa"/>
          </w:tcPr>
          <w:p w14:paraId="4AAAAE18" w14:textId="0B93C095" w:rsidR="003D6C1C" w:rsidRDefault="003D6C1C" w:rsidP="009428A7">
            <w:pPr>
              <w:pStyle w:val="Table-Text"/>
            </w:pPr>
            <w:r w:rsidRPr="00576696">
              <w:t>16959777</w:t>
            </w:r>
          </w:p>
        </w:tc>
        <w:tc>
          <w:tcPr>
            <w:tcW w:w="3315" w:type="dxa"/>
          </w:tcPr>
          <w:p w14:paraId="10E5B3E0" w14:textId="3E4FD6D1" w:rsidR="003D6C1C" w:rsidRDefault="003D6C1C" w:rsidP="009428A7">
            <w:pPr>
              <w:pStyle w:val="Table-Text"/>
            </w:pPr>
            <w:r w:rsidRPr="00576696">
              <w:t>The family chose to disengage after 4 weeks. They were abusive towards staff and did not want the support.</w:t>
            </w:r>
          </w:p>
        </w:tc>
      </w:tr>
    </w:tbl>
    <w:p w14:paraId="632812A2" w14:textId="64B207FD" w:rsidR="00FE3C78" w:rsidRPr="00FE3C78" w:rsidRDefault="003D647B" w:rsidP="003D647B">
      <w:pPr>
        <w:pStyle w:val="BodyText"/>
        <w:spacing w:before="240"/>
      </w:pPr>
      <w:bookmarkStart w:id="61" w:name="_Toc107931727"/>
      <w:bookmarkStart w:id="62" w:name="_Toc145935886"/>
      <w:bookmarkStart w:id="63" w:name="_Toc149817455"/>
      <w:r w:rsidRPr="003D647B">
        <w:t>All families excluded from the RF program are communicated to DCP so that appropriate escalation or other services can be considered to support the family.</w:t>
      </w:r>
    </w:p>
    <w:p w14:paraId="63FA3146" w14:textId="5DAD79D7" w:rsidR="00C06418" w:rsidRPr="006A2B4C" w:rsidRDefault="00C06418" w:rsidP="00F7682F">
      <w:pPr>
        <w:pStyle w:val="Heading3"/>
      </w:pPr>
      <w:r w:rsidRPr="006A2B4C">
        <w:t xml:space="preserve">Safety </w:t>
      </w:r>
      <w:r w:rsidR="009B1029">
        <w:t>a</w:t>
      </w:r>
      <w:r w:rsidRPr="006A2B4C">
        <w:t>chieved</w:t>
      </w:r>
      <w:bookmarkEnd w:id="61"/>
      <w:bookmarkEnd w:id="62"/>
      <w:bookmarkEnd w:id="63"/>
    </w:p>
    <w:p w14:paraId="3257CBDB" w14:textId="4633141E" w:rsidR="00C06418" w:rsidRPr="00963AA1" w:rsidRDefault="004B3DDE" w:rsidP="009E6CEB">
      <w:pPr>
        <w:pStyle w:val="BodyText"/>
      </w:pPr>
      <w:r w:rsidRPr="00963AA1">
        <w:t xml:space="preserve">Families successfully exit </w:t>
      </w:r>
      <w:r w:rsidR="0078393E" w:rsidRPr="0078393E">
        <w:t xml:space="preserve">Resilient Families (RF) </w:t>
      </w:r>
      <w:r w:rsidRPr="00963AA1">
        <w:t xml:space="preserve">when </w:t>
      </w:r>
      <w:r w:rsidR="0078393E" w:rsidRPr="0078393E">
        <w:t xml:space="preserve">The Benevolent Society (TBS) </w:t>
      </w:r>
      <w:r w:rsidR="004437B9" w:rsidRPr="00963AA1">
        <w:t>determine the safety has been achieved and</w:t>
      </w:r>
      <w:r w:rsidR="0078393E">
        <w:t xml:space="preserve"> </w:t>
      </w:r>
      <w:r w:rsidR="004437B9" w:rsidRPr="00963AA1">
        <w:t xml:space="preserve">the high level of support is no longer required. For the </w:t>
      </w:r>
      <w:r w:rsidR="0036182D" w:rsidRPr="00963AA1">
        <w:t>purposes of the outcome payment</w:t>
      </w:r>
      <w:r w:rsidR="00F24D4E" w:rsidRPr="00963AA1">
        <w:t>s</w:t>
      </w:r>
      <w:r w:rsidR="0036182D" w:rsidRPr="00963AA1">
        <w:t xml:space="preserve">, an assessment of </w:t>
      </w:r>
      <w:r w:rsidR="002C2262" w:rsidRPr="00963AA1">
        <w:t>perseveration</w:t>
      </w:r>
      <w:r w:rsidR="0036182D" w:rsidRPr="00963AA1">
        <w:t xml:space="preserve"> will be undertaken 12 months after their enrolment date</w:t>
      </w:r>
      <w:r w:rsidR="002C2262" w:rsidRPr="00963AA1">
        <w:t xml:space="preserve">. </w:t>
      </w:r>
    </w:p>
    <w:p w14:paraId="5BECF041" w14:textId="28B6456D" w:rsidR="00F65F85" w:rsidRDefault="002C2262" w:rsidP="00CF6331">
      <w:pPr>
        <w:pStyle w:val="BodyText"/>
      </w:pPr>
      <w:r w:rsidRPr="00963AA1">
        <w:lastRenderedPageBreak/>
        <w:t xml:space="preserve">During the reporting period, </w:t>
      </w:r>
      <w:r w:rsidR="007538FE" w:rsidRPr="00963AA1">
        <w:t xml:space="preserve">42 </w:t>
      </w:r>
      <w:r w:rsidR="009460BF" w:rsidRPr="00963AA1">
        <w:t xml:space="preserve">families </w:t>
      </w:r>
      <w:r w:rsidR="002411FE" w:rsidRPr="00963AA1">
        <w:t xml:space="preserve">exited RF having achieved safety. </w:t>
      </w:r>
      <w:r w:rsidR="007538FE" w:rsidRPr="00963AA1">
        <w:t xml:space="preserve">These families were supported for an average of 44 weeks, approximately 10 months. </w:t>
      </w:r>
      <w:r w:rsidR="0078393E">
        <w:t>Four</w:t>
      </w:r>
      <w:r w:rsidR="007538FE" w:rsidRPr="00963AA1">
        <w:t xml:space="preserve"> </w:t>
      </w:r>
      <w:r w:rsidR="009B1029" w:rsidRPr="00963AA1">
        <w:br/>
      </w:r>
      <w:r w:rsidR="007538FE" w:rsidRPr="00963AA1">
        <w:t xml:space="preserve">of these families included an unborn </w:t>
      </w:r>
      <w:r w:rsidR="141E6AE4" w:rsidRPr="00963AA1">
        <w:t>child</w:t>
      </w:r>
      <w:r w:rsidR="007538FE" w:rsidRPr="00963AA1">
        <w:t xml:space="preserve"> at</w:t>
      </w:r>
      <w:r w:rsidR="004845CC" w:rsidRPr="00963AA1">
        <w:t xml:space="preserve"> </w:t>
      </w:r>
      <w:r w:rsidR="007538FE" w:rsidRPr="00963AA1">
        <w:t>the time of referral.</w:t>
      </w:r>
    </w:p>
    <w:p w14:paraId="0C04A333" w14:textId="4AFEB1C6" w:rsidR="00C06418" w:rsidRPr="006A2B4C" w:rsidRDefault="00C06418" w:rsidP="00F7682F">
      <w:pPr>
        <w:pStyle w:val="Heading3"/>
      </w:pPr>
      <w:bookmarkStart w:id="64" w:name="_Toc107931728"/>
      <w:bookmarkStart w:id="65" w:name="_Toc145935887"/>
      <w:bookmarkStart w:id="66" w:name="_Toc149817456"/>
      <w:r w:rsidRPr="00F832A6">
        <w:t>Unsuccessful</w:t>
      </w:r>
      <w:r w:rsidRPr="006A2B4C">
        <w:t xml:space="preserve"> exits</w:t>
      </w:r>
      <w:bookmarkEnd w:id="64"/>
      <w:bookmarkEnd w:id="65"/>
      <w:bookmarkEnd w:id="66"/>
    </w:p>
    <w:p w14:paraId="3D9769F5" w14:textId="7D247FFC" w:rsidR="005C0F59" w:rsidRPr="00963AA1" w:rsidRDefault="005C0F59" w:rsidP="009E6CEB">
      <w:pPr>
        <w:pStyle w:val="BodyText"/>
      </w:pPr>
      <w:r w:rsidRPr="00963AA1">
        <w:t xml:space="preserve">Families unsuccessfully exit </w:t>
      </w:r>
      <w:r w:rsidR="00FD1895" w:rsidRPr="00FD1895">
        <w:t xml:space="preserve">RF </w:t>
      </w:r>
      <w:r w:rsidRPr="00963AA1">
        <w:t xml:space="preserve">when the safety concerns for the child/ren are too high and a formal alternative arrangement is implemented, or the family disengages. In the reporting period, </w:t>
      </w:r>
      <w:r w:rsidR="00F63C12" w:rsidRPr="00963AA1">
        <w:t>1</w:t>
      </w:r>
      <w:r w:rsidRPr="00963AA1">
        <w:t xml:space="preserve"> of the </w:t>
      </w:r>
      <w:r w:rsidR="00F63C12" w:rsidRPr="00963AA1">
        <w:t xml:space="preserve">families </w:t>
      </w:r>
      <w:r w:rsidRPr="00963AA1">
        <w:t xml:space="preserve">engaged with RF </w:t>
      </w:r>
      <w:r w:rsidR="00F63C12" w:rsidRPr="00963AA1">
        <w:t xml:space="preserve">had a child </w:t>
      </w:r>
      <w:r w:rsidRPr="00963AA1">
        <w:t xml:space="preserve">placed in care, </w:t>
      </w:r>
      <w:r w:rsidR="00477E23" w:rsidRPr="00963AA1">
        <w:t>and 1 family exited without achieving safety</w:t>
      </w:r>
      <w:r w:rsidRPr="00963AA1">
        <w:t>.</w:t>
      </w:r>
    </w:p>
    <w:p w14:paraId="5B7EDEC3" w14:textId="026184BD" w:rsidR="006C31DF" w:rsidRPr="00963AA1" w:rsidRDefault="005C0F59" w:rsidP="009E6CEB">
      <w:pPr>
        <w:pStyle w:val="BodyText"/>
      </w:pPr>
      <w:r w:rsidRPr="00963AA1">
        <w:t xml:space="preserve">For families that disengaged from RF (n = 2), the average time spent in the program was </w:t>
      </w:r>
      <w:r w:rsidR="003052F6" w:rsidRPr="00963AA1">
        <w:t>9</w:t>
      </w:r>
      <w:r w:rsidRPr="00963AA1">
        <w:t xml:space="preserve"> months. Comparatively, the NSW Resilient Families program’s ‘disengaged client cohort’ spent an average of 7 months in the program. </w:t>
      </w:r>
    </w:p>
    <w:p w14:paraId="0C7286A4" w14:textId="00779AF8" w:rsidR="004C3950" w:rsidRPr="00F832A6" w:rsidRDefault="004C3950" w:rsidP="00F7682F">
      <w:pPr>
        <w:pStyle w:val="Heading3"/>
      </w:pPr>
      <w:bookmarkStart w:id="67" w:name="_Toc107931730"/>
      <w:bookmarkStart w:id="68" w:name="_Toc145935888"/>
      <w:bookmarkStart w:id="69" w:name="_Toc149817457"/>
      <w:r w:rsidRPr="00F832A6">
        <w:t xml:space="preserve">Family </w:t>
      </w:r>
      <w:r w:rsidR="009B1029">
        <w:t>c</w:t>
      </w:r>
      <w:r w:rsidRPr="00F832A6">
        <w:t>omplexity</w:t>
      </w:r>
      <w:bookmarkEnd w:id="67"/>
      <w:bookmarkEnd w:id="68"/>
      <w:bookmarkEnd w:id="69"/>
    </w:p>
    <w:p w14:paraId="515209D1" w14:textId="22FCC97C" w:rsidR="004C3950" w:rsidRPr="00963AA1" w:rsidRDefault="00711686" w:rsidP="001A4B14">
      <w:r>
        <w:t xml:space="preserve">Department of Human Services </w:t>
      </w:r>
      <w:r w:rsidR="001A4B14" w:rsidRPr="00347B0E">
        <w:t>Child and Family Support System</w:t>
      </w:r>
      <w:r w:rsidR="001A4B14">
        <w:t xml:space="preserve"> (</w:t>
      </w:r>
      <w:r w:rsidR="002851E3" w:rsidRPr="00963AA1">
        <w:t>CFSS</w:t>
      </w:r>
      <w:r w:rsidR="001A4B14">
        <w:t>)</w:t>
      </w:r>
      <w:r w:rsidR="002851E3" w:rsidRPr="00963AA1">
        <w:t xml:space="preserve"> </w:t>
      </w:r>
      <w:r w:rsidR="00B46368">
        <w:t>P</w:t>
      </w:r>
      <w:r w:rsidR="002851E3" w:rsidRPr="00963AA1">
        <w:t xml:space="preserve">athways </w:t>
      </w:r>
      <w:r w:rsidR="00B46368">
        <w:t>S</w:t>
      </w:r>
      <w:r w:rsidR="002851E3" w:rsidRPr="00963AA1">
        <w:t>ervices completed a Family Complexity profile for all referrals to R</w:t>
      </w:r>
      <w:r w:rsidR="00982761">
        <w:t xml:space="preserve">esilient </w:t>
      </w:r>
      <w:r w:rsidR="002851E3" w:rsidRPr="00963AA1">
        <w:t>F</w:t>
      </w:r>
      <w:r w:rsidR="00982761">
        <w:t>amilies</w:t>
      </w:r>
      <w:r w:rsidR="002851E3" w:rsidRPr="00963AA1">
        <w:t>. The profile</w:t>
      </w:r>
      <w:r w:rsidR="00D81092" w:rsidRPr="00963AA1">
        <w:t xml:space="preserve"> </w:t>
      </w:r>
      <w:r w:rsidR="002851E3" w:rsidRPr="00963AA1">
        <w:t xml:space="preserve">considers the presence of 46 factors, which may be a protective or risk factor for that family. </w:t>
      </w:r>
      <w:r w:rsidR="00C647D7">
        <w:t>The department</w:t>
      </w:r>
      <w:r w:rsidR="00D81092" w:rsidRPr="00963AA1">
        <w:t xml:space="preserve"> </w:t>
      </w:r>
      <w:r w:rsidR="002851E3" w:rsidRPr="00963AA1">
        <w:t xml:space="preserve">analyses </w:t>
      </w:r>
      <w:r w:rsidR="00BE38FF" w:rsidRPr="00963AA1">
        <w:t xml:space="preserve">the </w:t>
      </w:r>
      <w:r w:rsidR="002851E3" w:rsidRPr="00963AA1">
        <w:t>Family Complexity data to understand the characteristics of the CFSS population, which</w:t>
      </w:r>
      <w:r w:rsidR="00735FA1" w:rsidRPr="00963AA1">
        <w:t xml:space="preserve"> </w:t>
      </w:r>
      <w:r w:rsidR="002851E3" w:rsidRPr="00963AA1">
        <w:t>includes families referred to R</w:t>
      </w:r>
      <w:r w:rsidR="00982761">
        <w:t xml:space="preserve">esilient </w:t>
      </w:r>
      <w:r w:rsidR="002851E3" w:rsidRPr="00963AA1">
        <w:t>F</w:t>
      </w:r>
      <w:r w:rsidR="00982761">
        <w:t>amilies</w:t>
      </w:r>
      <w:r w:rsidR="002851E3" w:rsidRPr="00963AA1">
        <w:t>.</w:t>
      </w:r>
    </w:p>
    <w:p w14:paraId="16A81B33" w14:textId="42347C48" w:rsidR="00CF6331" w:rsidRDefault="00CF6331" w:rsidP="00CF6331">
      <w:pPr>
        <w:pStyle w:val="Caption"/>
      </w:pPr>
      <w:bookmarkStart w:id="70" w:name="_Toc149828787"/>
      <w:r>
        <w:t xml:space="preserve">Table </w:t>
      </w:r>
      <w:r w:rsidR="006C1357">
        <w:fldChar w:fldCharType="begin"/>
      </w:r>
      <w:r w:rsidR="006C1357">
        <w:instrText xml:space="preserve"> SEQ Table \* ARABIC </w:instrText>
      </w:r>
      <w:r w:rsidR="006C1357">
        <w:fldChar w:fldCharType="separate"/>
      </w:r>
      <w:r w:rsidR="007203A7">
        <w:rPr>
          <w:noProof/>
        </w:rPr>
        <w:t>4</w:t>
      </w:r>
      <w:r w:rsidR="006C1357">
        <w:rPr>
          <w:noProof/>
        </w:rPr>
        <w:fldChar w:fldCharType="end"/>
      </w:r>
      <w:r>
        <w:t xml:space="preserve"> Number of Risk Factors Present</w:t>
      </w:r>
      <w:bookmarkEnd w:id="70"/>
    </w:p>
    <w:tbl>
      <w:tblPr>
        <w:tblStyle w:val="TableGrid"/>
        <w:tblW w:w="4995" w:type="pct"/>
        <w:tblLook w:val="04A0" w:firstRow="1" w:lastRow="0" w:firstColumn="1" w:lastColumn="0" w:noHBand="0" w:noVBand="1"/>
      </w:tblPr>
      <w:tblGrid>
        <w:gridCol w:w="1698"/>
        <w:gridCol w:w="1698"/>
        <w:gridCol w:w="1697"/>
        <w:gridCol w:w="1697"/>
        <w:gridCol w:w="1697"/>
      </w:tblGrid>
      <w:tr w:rsidR="00F07D32" w14:paraId="53F8C89E" w14:textId="77777777" w:rsidTr="00F07D32">
        <w:tc>
          <w:tcPr>
            <w:tcW w:w="1699" w:type="dxa"/>
          </w:tcPr>
          <w:p w14:paraId="6399E5A9" w14:textId="77777777" w:rsidR="00F07D32" w:rsidRDefault="00F07D32" w:rsidP="00880055">
            <w:pPr>
              <w:pStyle w:val="Table-Header"/>
            </w:pPr>
          </w:p>
        </w:tc>
        <w:tc>
          <w:tcPr>
            <w:tcW w:w="1699" w:type="dxa"/>
          </w:tcPr>
          <w:p w14:paraId="220C7803" w14:textId="6551C17A" w:rsidR="00F07D32" w:rsidRDefault="00B6412E" w:rsidP="00880055">
            <w:pPr>
              <w:pStyle w:val="Table-Header"/>
            </w:pPr>
            <w:r>
              <w:t>Period 5:</w:t>
            </w:r>
            <w:r w:rsidR="00C87209">
              <w:br/>
            </w:r>
            <w:r>
              <w:t>Jul</w:t>
            </w:r>
            <w:r w:rsidR="00C87209">
              <w:t>–</w:t>
            </w:r>
            <w:r>
              <w:t>Sep 22</w:t>
            </w:r>
            <w:r w:rsidR="00C87209">
              <w:br/>
            </w:r>
            <w:r>
              <w:t>RF Referrals</w:t>
            </w:r>
            <w:r w:rsidR="00C87209">
              <w:br/>
            </w:r>
            <w:r>
              <w:t>n=17</w:t>
            </w:r>
          </w:p>
        </w:tc>
        <w:tc>
          <w:tcPr>
            <w:tcW w:w="1699" w:type="dxa"/>
          </w:tcPr>
          <w:p w14:paraId="5364C8FB" w14:textId="60985BDD" w:rsidR="00F07D32" w:rsidRDefault="00B6412E" w:rsidP="00880055">
            <w:pPr>
              <w:pStyle w:val="Table-Header"/>
            </w:pPr>
            <w:r>
              <w:t xml:space="preserve">Period 6: </w:t>
            </w:r>
            <w:r w:rsidR="00C87209">
              <w:br/>
            </w:r>
            <w:r>
              <w:t>Oct</w:t>
            </w:r>
            <w:r w:rsidR="00C87209">
              <w:t>–</w:t>
            </w:r>
            <w:r>
              <w:t>Dec 22</w:t>
            </w:r>
            <w:r w:rsidR="00C87209">
              <w:br/>
            </w:r>
            <w:r>
              <w:t>RF Referrals</w:t>
            </w:r>
            <w:r w:rsidR="00C87209">
              <w:br/>
            </w:r>
            <w:r>
              <w:t>n=15</w:t>
            </w:r>
          </w:p>
        </w:tc>
        <w:tc>
          <w:tcPr>
            <w:tcW w:w="1699" w:type="dxa"/>
          </w:tcPr>
          <w:p w14:paraId="5C7F205F" w14:textId="449B6287" w:rsidR="00F07D32" w:rsidRDefault="00B6412E" w:rsidP="00880055">
            <w:pPr>
              <w:pStyle w:val="Table-Header"/>
            </w:pPr>
            <w:r>
              <w:t>Period 7:</w:t>
            </w:r>
            <w:r w:rsidR="00C87209">
              <w:br/>
            </w:r>
            <w:r>
              <w:t>Jan</w:t>
            </w:r>
            <w:r w:rsidR="00C87209">
              <w:t>–</w:t>
            </w:r>
            <w:r>
              <w:t>Mar 23</w:t>
            </w:r>
            <w:r w:rsidR="00C87209">
              <w:br/>
            </w:r>
            <w:r>
              <w:t>RF Referrals</w:t>
            </w:r>
            <w:r w:rsidR="00C87209">
              <w:br/>
            </w:r>
            <w:r>
              <w:t>n=22</w:t>
            </w:r>
          </w:p>
        </w:tc>
        <w:tc>
          <w:tcPr>
            <w:tcW w:w="1699" w:type="dxa"/>
          </w:tcPr>
          <w:p w14:paraId="1409B887" w14:textId="243A253A" w:rsidR="00F07D32" w:rsidRDefault="00B6412E" w:rsidP="00880055">
            <w:pPr>
              <w:pStyle w:val="Table-Header"/>
            </w:pPr>
            <w:r>
              <w:t>Period 8:</w:t>
            </w:r>
            <w:r w:rsidR="00C87209">
              <w:br/>
            </w:r>
            <w:r>
              <w:t>Apr</w:t>
            </w:r>
            <w:r w:rsidR="00C87209">
              <w:t>–</w:t>
            </w:r>
            <w:r>
              <w:t>Jun 23</w:t>
            </w:r>
            <w:r w:rsidR="00C87209">
              <w:br/>
            </w:r>
            <w:r>
              <w:t>RF Referrals</w:t>
            </w:r>
            <w:r w:rsidR="00C87209">
              <w:br/>
            </w:r>
            <w:r>
              <w:t>n=24</w:t>
            </w:r>
          </w:p>
        </w:tc>
      </w:tr>
      <w:tr w:rsidR="00F07D32" w14:paraId="15C87F90" w14:textId="77777777" w:rsidTr="00F07D32">
        <w:tc>
          <w:tcPr>
            <w:tcW w:w="1699" w:type="dxa"/>
          </w:tcPr>
          <w:p w14:paraId="0A352A5F" w14:textId="28EF846F" w:rsidR="00F07D32" w:rsidRDefault="002D64B4" w:rsidP="00880055">
            <w:pPr>
              <w:pStyle w:val="Table-Header"/>
            </w:pPr>
            <w:r>
              <w:t>Mean number</w:t>
            </w:r>
          </w:p>
        </w:tc>
        <w:tc>
          <w:tcPr>
            <w:tcW w:w="1699" w:type="dxa"/>
          </w:tcPr>
          <w:p w14:paraId="34A7313D" w14:textId="2B2C5974" w:rsidR="00F07D32" w:rsidRPr="00C87209" w:rsidRDefault="002D64B4" w:rsidP="00CF6331">
            <w:pPr>
              <w:pStyle w:val="Table-Text"/>
              <w:tabs>
                <w:tab w:val="decimal" w:pos="598"/>
              </w:tabs>
            </w:pPr>
            <w:r w:rsidRPr="00C87209">
              <w:t>19.41</w:t>
            </w:r>
          </w:p>
        </w:tc>
        <w:tc>
          <w:tcPr>
            <w:tcW w:w="1699" w:type="dxa"/>
          </w:tcPr>
          <w:p w14:paraId="0D18C9E1" w14:textId="5F709147" w:rsidR="00F07D32" w:rsidRPr="00C87209" w:rsidRDefault="002D64B4" w:rsidP="00CF6331">
            <w:pPr>
              <w:pStyle w:val="Table-Text"/>
              <w:tabs>
                <w:tab w:val="decimal" w:pos="598"/>
              </w:tabs>
            </w:pPr>
            <w:r w:rsidRPr="00C87209">
              <w:t>20.13</w:t>
            </w:r>
          </w:p>
        </w:tc>
        <w:tc>
          <w:tcPr>
            <w:tcW w:w="1699" w:type="dxa"/>
          </w:tcPr>
          <w:p w14:paraId="0B05729E" w14:textId="7C823E56" w:rsidR="00F07D32" w:rsidRPr="00C87209" w:rsidRDefault="002D64B4" w:rsidP="00CF6331">
            <w:pPr>
              <w:pStyle w:val="Table-Text"/>
              <w:tabs>
                <w:tab w:val="decimal" w:pos="598"/>
              </w:tabs>
            </w:pPr>
            <w:r w:rsidRPr="00C87209">
              <w:t>16.23</w:t>
            </w:r>
          </w:p>
        </w:tc>
        <w:tc>
          <w:tcPr>
            <w:tcW w:w="1699" w:type="dxa"/>
          </w:tcPr>
          <w:p w14:paraId="6B0ABB83" w14:textId="2B9E5883" w:rsidR="00F07D32" w:rsidRPr="00C87209" w:rsidRDefault="002D64B4" w:rsidP="00CF6331">
            <w:pPr>
              <w:pStyle w:val="Table-Text"/>
              <w:tabs>
                <w:tab w:val="decimal" w:pos="598"/>
              </w:tabs>
            </w:pPr>
            <w:r w:rsidRPr="00C87209">
              <w:t>16.12</w:t>
            </w:r>
          </w:p>
        </w:tc>
      </w:tr>
      <w:tr w:rsidR="00F07D32" w14:paraId="618D2557" w14:textId="77777777" w:rsidTr="00F07D32">
        <w:tc>
          <w:tcPr>
            <w:tcW w:w="1699" w:type="dxa"/>
          </w:tcPr>
          <w:p w14:paraId="47D26B3D" w14:textId="121B3F8A" w:rsidR="00F07D32" w:rsidRDefault="002D64B4" w:rsidP="00880055">
            <w:pPr>
              <w:pStyle w:val="Table-Header"/>
            </w:pPr>
            <w:r>
              <w:t>Risk factor quartile 1</w:t>
            </w:r>
          </w:p>
        </w:tc>
        <w:tc>
          <w:tcPr>
            <w:tcW w:w="1699" w:type="dxa"/>
          </w:tcPr>
          <w:p w14:paraId="6E68D847" w14:textId="15E4F096" w:rsidR="00F07D32" w:rsidRPr="00C87209" w:rsidRDefault="002D64B4" w:rsidP="00CF6331">
            <w:pPr>
              <w:pStyle w:val="Table-Text"/>
              <w:tabs>
                <w:tab w:val="decimal" w:pos="598"/>
              </w:tabs>
            </w:pPr>
            <w:r w:rsidRPr="00C87209">
              <w:t>0</w:t>
            </w:r>
            <w:r w:rsidR="001261F2">
              <w:t>.0%</w:t>
            </w:r>
          </w:p>
        </w:tc>
        <w:tc>
          <w:tcPr>
            <w:tcW w:w="1699" w:type="dxa"/>
          </w:tcPr>
          <w:p w14:paraId="473E02D2" w14:textId="41FD5619" w:rsidR="00F07D32" w:rsidRPr="00C87209" w:rsidRDefault="002D64B4" w:rsidP="00CF6331">
            <w:pPr>
              <w:pStyle w:val="Table-Text"/>
              <w:tabs>
                <w:tab w:val="decimal" w:pos="598"/>
              </w:tabs>
            </w:pPr>
            <w:r w:rsidRPr="00C87209">
              <w:t>0</w:t>
            </w:r>
            <w:r w:rsidR="001261F2">
              <w:t>.0%</w:t>
            </w:r>
          </w:p>
        </w:tc>
        <w:tc>
          <w:tcPr>
            <w:tcW w:w="1699" w:type="dxa"/>
          </w:tcPr>
          <w:p w14:paraId="30FF02D7" w14:textId="5D4FCC24" w:rsidR="00F07D32" w:rsidRPr="00C87209" w:rsidRDefault="002D64B4" w:rsidP="00CF6331">
            <w:pPr>
              <w:pStyle w:val="Table-Text"/>
              <w:tabs>
                <w:tab w:val="decimal" w:pos="598"/>
              </w:tabs>
            </w:pPr>
            <w:r w:rsidRPr="00C87209">
              <w:t>0</w:t>
            </w:r>
            <w:r w:rsidR="001261F2">
              <w:t>.0%</w:t>
            </w:r>
          </w:p>
        </w:tc>
        <w:tc>
          <w:tcPr>
            <w:tcW w:w="1699" w:type="dxa"/>
          </w:tcPr>
          <w:p w14:paraId="421CAFB2" w14:textId="5BFDFAF2" w:rsidR="00F07D32" w:rsidRPr="00C87209" w:rsidRDefault="002D64B4" w:rsidP="00CF6331">
            <w:pPr>
              <w:pStyle w:val="Table-Text"/>
              <w:tabs>
                <w:tab w:val="decimal" w:pos="598"/>
              </w:tabs>
            </w:pPr>
            <w:r w:rsidRPr="00C87209">
              <w:t>8.3</w:t>
            </w:r>
            <w:r w:rsidR="001261F2">
              <w:t>%</w:t>
            </w:r>
          </w:p>
        </w:tc>
      </w:tr>
      <w:tr w:rsidR="002D64B4" w14:paraId="050954C3" w14:textId="77777777" w:rsidTr="00F07D32">
        <w:tc>
          <w:tcPr>
            <w:tcW w:w="1699" w:type="dxa"/>
          </w:tcPr>
          <w:p w14:paraId="2985C251" w14:textId="6DF3B686" w:rsidR="002D64B4" w:rsidRDefault="002D64B4" w:rsidP="00880055">
            <w:pPr>
              <w:pStyle w:val="Table-Header"/>
            </w:pPr>
            <w:r>
              <w:t>Risk factor quartile 2</w:t>
            </w:r>
          </w:p>
        </w:tc>
        <w:tc>
          <w:tcPr>
            <w:tcW w:w="1699" w:type="dxa"/>
          </w:tcPr>
          <w:p w14:paraId="0B7C5780" w14:textId="0783C1F2" w:rsidR="002D64B4" w:rsidRPr="00C87209" w:rsidRDefault="002D64B4" w:rsidP="00CF6331">
            <w:pPr>
              <w:pStyle w:val="Table-Text"/>
              <w:tabs>
                <w:tab w:val="decimal" w:pos="598"/>
              </w:tabs>
            </w:pPr>
            <w:r w:rsidRPr="00C87209">
              <w:t>5.9</w:t>
            </w:r>
            <w:r w:rsidR="001261F2">
              <w:t>%</w:t>
            </w:r>
          </w:p>
        </w:tc>
        <w:tc>
          <w:tcPr>
            <w:tcW w:w="1699" w:type="dxa"/>
          </w:tcPr>
          <w:p w14:paraId="3C357436" w14:textId="5B1FC8D2" w:rsidR="002D64B4" w:rsidRPr="00C87209" w:rsidRDefault="002D64B4" w:rsidP="00CF6331">
            <w:pPr>
              <w:pStyle w:val="Table-Text"/>
              <w:tabs>
                <w:tab w:val="decimal" w:pos="598"/>
              </w:tabs>
            </w:pPr>
            <w:r w:rsidRPr="00C87209">
              <w:t>6.7</w:t>
            </w:r>
            <w:r w:rsidR="001261F2">
              <w:t>%</w:t>
            </w:r>
          </w:p>
        </w:tc>
        <w:tc>
          <w:tcPr>
            <w:tcW w:w="1699" w:type="dxa"/>
          </w:tcPr>
          <w:p w14:paraId="69B8039F" w14:textId="311A157C" w:rsidR="002D64B4" w:rsidRPr="00C87209" w:rsidRDefault="002D64B4" w:rsidP="00CF6331">
            <w:pPr>
              <w:pStyle w:val="Table-Text"/>
              <w:tabs>
                <w:tab w:val="decimal" w:pos="598"/>
              </w:tabs>
            </w:pPr>
            <w:r w:rsidRPr="00C87209">
              <w:t>22.7</w:t>
            </w:r>
            <w:r w:rsidR="001261F2">
              <w:t>%</w:t>
            </w:r>
          </w:p>
        </w:tc>
        <w:tc>
          <w:tcPr>
            <w:tcW w:w="1699" w:type="dxa"/>
          </w:tcPr>
          <w:p w14:paraId="536FD9F4" w14:textId="4C86A1A3" w:rsidR="002D64B4" w:rsidRPr="00C87209" w:rsidRDefault="002D64B4" w:rsidP="00CF6331">
            <w:pPr>
              <w:pStyle w:val="Table-Text"/>
              <w:tabs>
                <w:tab w:val="decimal" w:pos="598"/>
              </w:tabs>
            </w:pPr>
            <w:r w:rsidRPr="00C87209">
              <w:t>25</w:t>
            </w:r>
            <w:r w:rsidR="00B6412E" w:rsidRPr="00C87209">
              <w:t>.0</w:t>
            </w:r>
            <w:r w:rsidR="001261F2">
              <w:t>%</w:t>
            </w:r>
          </w:p>
        </w:tc>
      </w:tr>
      <w:tr w:rsidR="00B6412E" w14:paraId="0D94DEEA" w14:textId="77777777" w:rsidTr="00F07D32">
        <w:tc>
          <w:tcPr>
            <w:tcW w:w="1699" w:type="dxa"/>
          </w:tcPr>
          <w:p w14:paraId="197C5241" w14:textId="0D8B3754" w:rsidR="00B6412E" w:rsidRDefault="00823B96" w:rsidP="00880055">
            <w:pPr>
              <w:pStyle w:val="Table-Header"/>
            </w:pPr>
            <w:r>
              <w:t>Risk factor quartile 3</w:t>
            </w:r>
          </w:p>
        </w:tc>
        <w:tc>
          <w:tcPr>
            <w:tcW w:w="1699" w:type="dxa"/>
          </w:tcPr>
          <w:p w14:paraId="516C51B7" w14:textId="02243025" w:rsidR="00B6412E" w:rsidRPr="00C87209" w:rsidRDefault="00823B96" w:rsidP="00CF6331">
            <w:pPr>
              <w:pStyle w:val="Table-Text"/>
              <w:tabs>
                <w:tab w:val="decimal" w:pos="598"/>
              </w:tabs>
            </w:pPr>
            <w:r w:rsidRPr="00C87209">
              <w:t>23.5</w:t>
            </w:r>
            <w:r w:rsidR="001261F2">
              <w:t>%</w:t>
            </w:r>
          </w:p>
        </w:tc>
        <w:tc>
          <w:tcPr>
            <w:tcW w:w="1699" w:type="dxa"/>
          </w:tcPr>
          <w:p w14:paraId="4387CBF9" w14:textId="15BF75E4" w:rsidR="00B6412E" w:rsidRPr="00C87209" w:rsidRDefault="00823B96" w:rsidP="00CF6331">
            <w:pPr>
              <w:pStyle w:val="Table-Text"/>
              <w:tabs>
                <w:tab w:val="decimal" w:pos="598"/>
              </w:tabs>
            </w:pPr>
            <w:r w:rsidRPr="00C87209">
              <w:t>20.0</w:t>
            </w:r>
            <w:r w:rsidR="001261F2">
              <w:t>%</w:t>
            </w:r>
          </w:p>
        </w:tc>
        <w:tc>
          <w:tcPr>
            <w:tcW w:w="1699" w:type="dxa"/>
          </w:tcPr>
          <w:p w14:paraId="4BA8D7EA" w14:textId="162F0BB6" w:rsidR="00B6412E" w:rsidRPr="00C87209" w:rsidRDefault="00823B96" w:rsidP="00CF6331">
            <w:pPr>
              <w:pStyle w:val="Table-Text"/>
              <w:tabs>
                <w:tab w:val="decimal" w:pos="598"/>
              </w:tabs>
            </w:pPr>
            <w:r w:rsidRPr="00C87209">
              <w:t>45.5</w:t>
            </w:r>
            <w:r w:rsidR="001261F2">
              <w:t>%</w:t>
            </w:r>
          </w:p>
        </w:tc>
        <w:tc>
          <w:tcPr>
            <w:tcW w:w="1699" w:type="dxa"/>
          </w:tcPr>
          <w:p w14:paraId="276FF849" w14:textId="2EEEE97E" w:rsidR="00B6412E" w:rsidRPr="00C87209" w:rsidRDefault="00823B96" w:rsidP="00CF6331">
            <w:pPr>
              <w:pStyle w:val="Table-Text"/>
              <w:tabs>
                <w:tab w:val="decimal" w:pos="598"/>
              </w:tabs>
            </w:pPr>
            <w:r w:rsidRPr="00C87209">
              <w:t>16.7</w:t>
            </w:r>
            <w:r w:rsidR="001261F2">
              <w:t>%</w:t>
            </w:r>
          </w:p>
        </w:tc>
      </w:tr>
      <w:tr w:rsidR="00823B96" w14:paraId="23DF7124" w14:textId="77777777" w:rsidTr="00F07D32">
        <w:tc>
          <w:tcPr>
            <w:tcW w:w="1699" w:type="dxa"/>
          </w:tcPr>
          <w:p w14:paraId="43F56F34" w14:textId="375FF867" w:rsidR="00823B96" w:rsidRDefault="00823B96" w:rsidP="00880055">
            <w:pPr>
              <w:pStyle w:val="Table-Header"/>
            </w:pPr>
            <w:r>
              <w:t>Risk factor quartile 4</w:t>
            </w:r>
          </w:p>
        </w:tc>
        <w:tc>
          <w:tcPr>
            <w:tcW w:w="1699" w:type="dxa"/>
          </w:tcPr>
          <w:p w14:paraId="39B7E7D8" w14:textId="4FC726FA" w:rsidR="00823B96" w:rsidRPr="00C87209" w:rsidRDefault="00823B96" w:rsidP="00CF6331">
            <w:pPr>
              <w:pStyle w:val="Table-Text"/>
              <w:tabs>
                <w:tab w:val="decimal" w:pos="598"/>
              </w:tabs>
            </w:pPr>
            <w:r w:rsidRPr="00C87209">
              <w:t>70.6</w:t>
            </w:r>
            <w:r w:rsidR="001261F2">
              <w:t>%</w:t>
            </w:r>
          </w:p>
        </w:tc>
        <w:tc>
          <w:tcPr>
            <w:tcW w:w="1699" w:type="dxa"/>
          </w:tcPr>
          <w:p w14:paraId="5F462E05" w14:textId="130F2A78" w:rsidR="00823B96" w:rsidRPr="00C87209" w:rsidRDefault="00823B96" w:rsidP="00CF6331">
            <w:pPr>
              <w:pStyle w:val="Table-Text"/>
              <w:tabs>
                <w:tab w:val="decimal" w:pos="598"/>
              </w:tabs>
            </w:pPr>
            <w:r w:rsidRPr="00C87209">
              <w:t>73.3</w:t>
            </w:r>
            <w:r w:rsidR="001261F2">
              <w:t>%</w:t>
            </w:r>
          </w:p>
        </w:tc>
        <w:tc>
          <w:tcPr>
            <w:tcW w:w="1699" w:type="dxa"/>
          </w:tcPr>
          <w:p w14:paraId="22606CE1" w14:textId="3834D27E" w:rsidR="00823B96" w:rsidRPr="00C87209" w:rsidRDefault="00823B96" w:rsidP="00CF6331">
            <w:pPr>
              <w:pStyle w:val="Table-Text"/>
              <w:tabs>
                <w:tab w:val="decimal" w:pos="598"/>
              </w:tabs>
            </w:pPr>
            <w:r w:rsidRPr="00C87209">
              <w:t>31.8</w:t>
            </w:r>
            <w:r w:rsidR="001261F2">
              <w:t>%</w:t>
            </w:r>
          </w:p>
        </w:tc>
        <w:tc>
          <w:tcPr>
            <w:tcW w:w="1699" w:type="dxa"/>
          </w:tcPr>
          <w:p w14:paraId="683DBF44" w14:textId="31F8507F" w:rsidR="00823B96" w:rsidRPr="00C87209" w:rsidRDefault="00823B96" w:rsidP="00CF6331">
            <w:pPr>
              <w:pStyle w:val="Table-Text"/>
              <w:tabs>
                <w:tab w:val="decimal" w:pos="598"/>
              </w:tabs>
            </w:pPr>
            <w:r w:rsidRPr="00C87209">
              <w:t>50</w:t>
            </w:r>
            <w:r w:rsidR="001261F2">
              <w:t>.0%</w:t>
            </w:r>
          </w:p>
        </w:tc>
      </w:tr>
    </w:tbl>
    <w:p w14:paraId="415530AA" w14:textId="7C38BBBA" w:rsidR="00D4166E" w:rsidRPr="00963AA1" w:rsidRDefault="00D4166E" w:rsidP="00A84744">
      <w:pPr>
        <w:pStyle w:val="BodyText"/>
        <w:spacing w:before="240"/>
      </w:pPr>
      <w:r w:rsidRPr="00752EBD">
        <w:t>Data extracted and analysed 7 July 2023.</w:t>
      </w:r>
    </w:p>
    <w:p w14:paraId="2A5538FD" w14:textId="7746E26A" w:rsidR="004C3950" w:rsidRDefault="004C3950" w:rsidP="003D3C42">
      <w:pPr>
        <w:pStyle w:val="BodyText"/>
      </w:pPr>
    </w:p>
    <w:p w14:paraId="5DCC9090" w14:textId="213BB3C1" w:rsidR="00F2012C" w:rsidRDefault="00F2012C">
      <w:pPr>
        <w:keepLines w:val="0"/>
        <w:spacing w:line="240" w:lineRule="auto"/>
      </w:pPr>
      <w:r>
        <w:br w:type="page"/>
      </w:r>
    </w:p>
    <w:p w14:paraId="32C19265" w14:textId="61310843" w:rsidR="00166483" w:rsidRDefault="00166483" w:rsidP="00166483">
      <w:pPr>
        <w:pStyle w:val="Caption"/>
      </w:pPr>
      <w:bookmarkStart w:id="71" w:name="_Toc149828788"/>
      <w:r>
        <w:lastRenderedPageBreak/>
        <w:t xml:space="preserve">Table </w:t>
      </w:r>
      <w:r w:rsidR="006C1357">
        <w:fldChar w:fldCharType="begin"/>
      </w:r>
      <w:r w:rsidR="006C1357">
        <w:instrText xml:space="preserve"> SEQ Table \* ARABIC </w:instrText>
      </w:r>
      <w:r w:rsidR="006C1357">
        <w:fldChar w:fldCharType="separate"/>
      </w:r>
      <w:r w:rsidR="007203A7">
        <w:rPr>
          <w:noProof/>
        </w:rPr>
        <w:t>5</w:t>
      </w:r>
      <w:r w:rsidR="006C1357">
        <w:rPr>
          <w:noProof/>
        </w:rPr>
        <w:fldChar w:fldCharType="end"/>
      </w:r>
      <w:r>
        <w:t xml:space="preserve"> </w:t>
      </w:r>
      <w:r w:rsidRPr="00721F66">
        <w:t>Presence of main parental ecological risk factors (Domestic and Family Violence, Mental Health and/or Alcohol and Other Drugs)</w:t>
      </w:r>
      <w:bookmarkEnd w:id="71"/>
    </w:p>
    <w:tbl>
      <w:tblPr>
        <w:tblStyle w:val="TableGrid"/>
        <w:tblW w:w="0" w:type="auto"/>
        <w:tblLook w:val="04A0" w:firstRow="1" w:lastRow="0" w:firstColumn="1" w:lastColumn="0" w:noHBand="0" w:noVBand="1"/>
      </w:tblPr>
      <w:tblGrid>
        <w:gridCol w:w="1699"/>
        <w:gridCol w:w="1699"/>
        <w:gridCol w:w="1699"/>
        <w:gridCol w:w="1699"/>
        <w:gridCol w:w="1699"/>
      </w:tblGrid>
      <w:tr w:rsidR="00C46643" w14:paraId="22CECBEC" w14:textId="77777777" w:rsidTr="00C46643">
        <w:tc>
          <w:tcPr>
            <w:tcW w:w="1699" w:type="dxa"/>
          </w:tcPr>
          <w:p w14:paraId="558FABBF" w14:textId="77777777" w:rsidR="00C46643" w:rsidRDefault="00C46643" w:rsidP="003D3C42">
            <w:pPr>
              <w:pStyle w:val="BodyText"/>
            </w:pPr>
          </w:p>
        </w:tc>
        <w:tc>
          <w:tcPr>
            <w:tcW w:w="1699" w:type="dxa"/>
          </w:tcPr>
          <w:p w14:paraId="03BC983B" w14:textId="74973FB1" w:rsidR="00C46643" w:rsidRDefault="00C46643" w:rsidP="00880055">
            <w:pPr>
              <w:pStyle w:val="Table-Header"/>
            </w:pPr>
            <w:r w:rsidRPr="00A47F63">
              <w:t xml:space="preserve">Period 5: </w:t>
            </w:r>
            <w:r w:rsidR="00321499">
              <w:br/>
            </w:r>
            <w:r w:rsidRPr="00A47F63">
              <w:t>Jul</w:t>
            </w:r>
            <w:r w:rsidR="00765475">
              <w:t>–</w:t>
            </w:r>
            <w:r w:rsidRPr="00A47F63">
              <w:t>Sep 22</w:t>
            </w:r>
            <w:r w:rsidR="00321499">
              <w:br/>
            </w:r>
            <w:r w:rsidRPr="00A47F63">
              <w:t>RF Referrals</w:t>
            </w:r>
            <w:r w:rsidR="00321499">
              <w:br/>
            </w:r>
            <w:r w:rsidRPr="00A47F63">
              <w:t>n=17</w:t>
            </w:r>
          </w:p>
        </w:tc>
        <w:tc>
          <w:tcPr>
            <w:tcW w:w="1699" w:type="dxa"/>
          </w:tcPr>
          <w:p w14:paraId="7528BABD" w14:textId="5AB3A0D0" w:rsidR="00C46643" w:rsidRDefault="00C46643" w:rsidP="00880055">
            <w:pPr>
              <w:pStyle w:val="Table-Header"/>
            </w:pPr>
            <w:r w:rsidRPr="00A47F63">
              <w:t xml:space="preserve">Period 6: </w:t>
            </w:r>
            <w:r w:rsidR="00321499">
              <w:br/>
            </w:r>
            <w:r w:rsidRPr="00A47F63">
              <w:t>Oct</w:t>
            </w:r>
            <w:r w:rsidR="00765475">
              <w:t>–</w:t>
            </w:r>
            <w:r w:rsidRPr="00A47F63">
              <w:t>Dec 22</w:t>
            </w:r>
            <w:r w:rsidR="00321499">
              <w:br/>
            </w:r>
            <w:r w:rsidRPr="00A47F63">
              <w:t>RF Referrals</w:t>
            </w:r>
            <w:r w:rsidR="00321499">
              <w:br/>
            </w:r>
            <w:r w:rsidRPr="00A47F63">
              <w:t>n=15</w:t>
            </w:r>
          </w:p>
        </w:tc>
        <w:tc>
          <w:tcPr>
            <w:tcW w:w="1699" w:type="dxa"/>
          </w:tcPr>
          <w:p w14:paraId="3690E46A" w14:textId="20D634A2" w:rsidR="00C46643" w:rsidRDefault="00C46643" w:rsidP="00880055">
            <w:pPr>
              <w:pStyle w:val="Table-Header"/>
            </w:pPr>
            <w:r w:rsidRPr="00A47F63">
              <w:t>Period 7:</w:t>
            </w:r>
            <w:r w:rsidR="00321499">
              <w:br/>
            </w:r>
            <w:r w:rsidRPr="00A47F63">
              <w:t>Jan</w:t>
            </w:r>
            <w:r w:rsidR="00765475">
              <w:t>–</w:t>
            </w:r>
            <w:r w:rsidRPr="00A47F63">
              <w:t>Mar 23</w:t>
            </w:r>
            <w:r w:rsidR="00321499">
              <w:br/>
            </w:r>
            <w:r w:rsidRPr="00A47F63">
              <w:t>RF Referrals</w:t>
            </w:r>
            <w:r w:rsidR="00321499">
              <w:br/>
            </w:r>
            <w:r w:rsidRPr="00A47F63">
              <w:t>n=22</w:t>
            </w:r>
          </w:p>
        </w:tc>
        <w:tc>
          <w:tcPr>
            <w:tcW w:w="1699" w:type="dxa"/>
          </w:tcPr>
          <w:p w14:paraId="6F9784CE" w14:textId="29E2F02F" w:rsidR="00C46643" w:rsidRDefault="00C46643" w:rsidP="00880055">
            <w:pPr>
              <w:pStyle w:val="Table-Header"/>
            </w:pPr>
            <w:r w:rsidRPr="00A47F63">
              <w:t>Period 8:</w:t>
            </w:r>
            <w:r w:rsidR="00321499">
              <w:br/>
            </w:r>
            <w:r w:rsidRPr="00A47F63">
              <w:t>Apr</w:t>
            </w:r>
            <w:r w:rsidR="00765475">
              <w:t>–</w:t>
            </w:r>
            <w:r w:rsidRPr="00A47F63">
              <w:t>Jun 23</w:t>
            </w:r>
            <w:r w:rsidR="00321499">
              <w:br/>
            </w:r>
            <w:r w:rsidRPr="00A47F63">
              <w:t>RF Referrals</w:t>
            </w:r>
            <w:r w:rsidR="00321499">
              <w:br/>
            </w:r>
            <w:r w:rsidRPr="00A47F63">
              <w:t>n=24</w:t>
            </w:r>
          </w:p>
        </w:tc>
      </w:tr>
      <w:tr w:rsidR="00C46643" w14:paraId="139515F5" w14:textId="77777777" w:rsidTr="00C46643">
        <w:tc>
          <w:tcPr>
            <w:tcW w:w="1699" w:type="dxa"/>
          </w:tcPr>
          <w:p w14:paraId="7271E496" w14:textId="68FEA96B" w:rsidR="00C46643" w:rsidRDefault="00C46643" w:rsidP="00880055">
            <w:pPr>
              <w:pStyle w:val="Table-Header"/>
            </w:pPr>
            <w:r>
              <w:t>Zero</w:t>
            </w:r>
          </w:p>
        </w:tc>
        <w:tc>
          <w:tcPr>
            <w:tcW w:w="1699" w:type="dxa"/>
          </w:tcPr>
          <w:p w14:paraId="165B561E" w14:textId="71B65FBC" w:rsidR="00C46643" w:rsidRPr="00321499" w:rsidRDefault="002E5397" w:rsidP="00166483">
            <w:pPr>
              <w:pStyle w:val="Table-Text"/>
              <w:tabs>
                <w:tab w:val="decimal" w:pos="561"/>
              </w:tabs>
            </w:pPr>
            <w:r w:rsidRPr="00321499">
              <w:t>0.0</w:t>
            </w:r>
            <w:r w:rsidR="00321499" w:rsidRPr="00321499">
              <w:t>%</w:t>
            </w:r>
          </w:p>
        </w:tc>
        <w:tc>
          <w:tcPr>
            <w:tcW w:w="1699" w:type="dxa"/>
          </w:tcPr>
          <w:p w14:paraId="490367AF" w14:textId="42FA3329" w:rsidR="00C46643" w:rsidRPr="00321499" w:rsidRDefault="002E5397" w:rsidP="00166483">
            <w:pPr>
              <w:pStyle w:val="Table-Text"/>
              <w:tabs>
                <w:tab w:val="decimal" w:pos="561"/>
              </w:tabs>
            </w:pPr>
            <w:r w:rsidRPr="00321499">
              <w:t>0.0</w:t>
            </w:r>
            <w:r w:rsidR="00321499" w:rsidRPr="00321499">
              <w:t>%</w:t>
            </w:r>
          </w:p>
        </w:tc>
        <w:tc>
          <w:tcPr>
            <w:tcW w:w="1699" w:type="dxa"/>
          </w:tcPr>
          <w:p w14:paraId="22AD738D" w14:textId="5689CD92" w:rsidR="00C46643" w:rsidRPr="00321499" w:rsidRDefault="002E5397" w:rsidP="00166483">
            <w:pPr>
              <w:pStyle w:val="Table-Text"/>
              <w:tabs>
                <w:tab w:val="decimal" w:pos="561"/>
              </w:tabs>
            </w:pPr>
            <w:r w:rsidRPr="00321499">
              <w:t>0.0</w:t>
            </w:r>
            <w:r w:rsidR="00321499" w:rsidRPr="00321499">
              <w:t>%</w:t>
            </w:r>
          </w:p>
        </w:tc>
        <w:tc>
          <w:tcPr>
            <w:tcW w:w="1699" w:type="dxa"/>
          </w:tcPr>
          <w:p w14:paraId="7336ACEE" w14:textId="3C9EE35E" w:rsidR="00C46643" w:rsidRPr="00321499" w:rsidRDefault="002E5397" w:rsidP="00166483">
            <w:pPr>
              <w:pStyle w:val="Table-Text"/>
              <w:tabs>
                <w:tab w:val="decimal" w:pos="561"/>
              </w:tabs>
            </w:pPr>
            <w:r w:rsidRPr="00321499">
              <w:t>4.2</w:t>
            </w:r>
            <w:r w:rsidR="00321499" w:rsidRPr="00321499">
              <w:t>%</w:t>
            </w:r>
          </w:p>
        </w:tc>
      </w:tr>
      <w:tr w:rsidR="00C46643" w14:paraId="0A52F64C" w14:textId="77777777" w:rsidTr="00C46643">
        <w:tc>
          <w:tcPr>
            <w:tcW w:w="1699" w:type="dxa"/>
          </w:tcPr>
          <w:p w14:paraId="59781645" w14:textId="1D02469C" w:rsidR="00C46643" w:rsidRDefault="00C46643" w:rsidP="00880055">
            <w:pPr>
              <w:pStyle w:val="Table-Header"/>
            </w:pPr>
            <w:r>
              <w:t>One</w:t>
            </w:r>
          </w:p>
        </w:tc>
        <w:tc>
          <w:tcPr>
            <w:tcW w:w="1699" w:type="dxa"/>
          </w:tcPr>
          <w:p w14:paraId="6EFB2CBB" w14:textId="6152A5DE" w:rsidR="00C46643" w:rsidRPr="00321499" w:rsidRDefault="002E5397" w:rsidP="00166483">
            <w:pPr>
              <w:pStyle w:val="Table-Text"/>
              <w:tabs>
                <w:tab w:val="decimal" w:pos="561"/>
              </w:tabs>
            </w:pPr>
            <w:r w:rsidRPr="00321499">
              <w:t>0.0</w:t>
            </w:r>
            <w:r w:rsidR="00321499" w:rsidRPr="00321499">
              <w:t>%</w:t>
            </w:r>
          </w:p>
        </w:tc>
        <w:tc>
          <w:tcPr>
            <w:tcW w:w="1699" w:type="dxa"/>
          </w:tcPr>
          <w:p w14:paraId="34EFEFB4" w14:textId="525BEBDA" w:rsidR="00C46643" w:rsidRPr="00321499" w:rsidRDefault="002E5397" w:rsidP="00166483">
            <w:pPr>
              <w:pStyle w:val="Table-Text"/>
              <w:tabs>
                <w:tab w:val="decimal" w:pos="561"/>
              </w:tabs>
            </w:pPr>
            <w:r w:rsidRPr="00321499">
              <w:t>6.7</w:t>
            </w:r>
            <w:r w:rsidR="00321499" w:rsidRPr="00321499">
              <w:t>%</w:t>
            </w:r>
          </w:p>
        </w:tc>
        <w:tc>
          <w:tcPr>
            <w:tcW w:w="1699" w:type="dxa"/>
          </w:tcPr>
          <w:p w14:paraId="73CBAA46" w14:textId="607A8A8C" w:rsidR="00C46643" w:rsidRPr="00321499" w:rsidRDefault="002E5397" w:rsidP="00166483">
            <w:pPr>
              <w:pStyle w:val="Table-Text"/>
              <w:tabs>
                <w:tab w:val="decimal" w:pos="561"/>
              </w:tabs>
            </w:pPr>
            <w:r w:rsidRPr="00321499">
              <w:t>27.3</w:t>
            </w:r>
            <w:r w:rsidR="00321499" w:rsidRPr="00321499">
              <w:t>%</w:t>
            </w:r>
          </w:p>
        </w:tc>
        <w:tc>
          <w:tcPr>
            <w:tcW w:w="1699" w:type="dxa"/>
          </w:tcPr>
          <w:p w14:paraId="6750301F" w14:textId="162FFCF2" w:rsidR="00C46643" w:rsidRPr="00321499" w:rsidRDefault="002E5397" w:rsidP="00166483">
            <w:pPr>
              <w:pStyle w:val="Table-Text"/>
              <w:tabs>
                <w:tab w:val="decimal" w:pos="561"/>
              </w:tabs>
            </w:pPr>
            <w:r w:rsidRPr="00321499">
              <w:t>12.5</w:t>
            </w:r>
            <w:r w:rsidR="00321499" w:rsidRPr="00321499">
              <w:t>%</w:t>
            </w:r>
          </w:p>
        </w:tc>
      </w:tr>
      <w:tr w:rsidR="00C46643" w14:paraId="287B909D" w14:textId="77777777" w:rsidTr="00C46643">
        <w:tc>
          <w:tcPr>
            <w:tcW w:w="1699" w:type="dxa"/>
          </w:tcPr>
          <w:p w14:paraId="2BBF7DB4" w14:textId="66FD0ACC" w:rsidR="00C46643" w:rsidRDefault="00C46643" w:rsidP="00880055">
            <w:pPr>
              <w:pStyle w:val="Table-Header"/>
            </w:pPr>
            <w:r>
              <w:t>Two</w:t>
            </w:r>
          </w:p>
        </w:tc>
        <w:tc>
          <w:tcPr>
            <w:tcW w:w="1699" w:type="dxa"/>
          </w:tcPr>
          <w:p w14:paraId="6C462FCA" w14:textId="2AE44C91" w:rsidR="00C46643" w:rsidRPr="00321499" w:rsidRDefault="002E5397" w:rsidP="00166483">
            <w:pPr>
              <w:pStyle w:val="Table-Text"/>
              <w:tabs>
                <w:tab w:val="decimal" w:pos="561"/>
              </w:tabs>
            </w:pPr>
            <w:r w:rsidRPr="00321499">
              <w:t>35.3</w:t>
            </w:r>
            <w:r w:rsidR="00321499" w:rsidRPr="00321499">
              <w:t>%</w:t>
            </w:r>
          </w:p>
        </w:tc>
        <w:tc>
          <w:tcPr>
            <w:tcW w:w="1699" w:type="dxa"/>
          </w:tcPr>
          <w:p w14:paraId="5BA44A92" w14:textId="749398B3" w:rsidR="00C46643" w:rsidRPr="00321499" w:rsidRDefault="002E5397" w:rsidP="00166483">
            <w:pPr>
              <w:pStyle w:val="Table-Text"/>
              <w:tabs>
                <w:tab w:val="decimal" w:pos="561"/>
              </w:tabs>
            </w:pPr>
            <w:r w:rsidRPr="00321499">
              <w:t>46.7</w:t>
            </w:r>
            <w:r w:rsidR="00321499" w:rsidRPr="00321499">
              <w:t>%</w:t>
            </w:r>
          </w:p>
        </w:tc>
        <w:tc>
          <w:tcPr>
            <w:tcW w:w="1699" w:type="dxa"/>
          </w:tcPr>
          <w:p w14:paraId="48CDBC59" w14:textId="7212BDB1" w:rsidR="00C46643" w:rsidRPr="00321499" w:rsidRDefault="002E5397" w:rsidP="00166483">
            <w:pPr>
              <w:pStyle w:val="Table-Text"/>
              <w:tabs>
                <w:tab w:val="decimal" w:pos="561"/>
              </w:tabs>
            </w:pPr>
            <w:r w:rsidRPr="00321499">
              <w:t>31.8</w:t>
            </w:r>
            <w:r w:rsidR="00321499" w:rsidRPr="00321499">
              <w:t>%</w:t>
            </w:r>
          </w:p>
        </w:tc>
        <w:tc>
          <w:tcPr>
            <w:tcW w:w="1699" w:type="dxa"/>
          </w:tcPr>
          <w:p w14:paraId="17BF7F19" w14:textId="4F53FDE0" w:rsidR="00C46643" w:rsidRPr="00321499" w:rsidRDefault="002E5397" w:rsidP="00166483">
            <w:pPr>
              <w:pStyle w:val="Table-Text"/>
              <w:tabs>
                <w:tab w:val="decimal" w:pos="561"/>
              </w:tabs>
            </w:pPr>
            <w:r w:rsidRPr="00321499">
              <w:t>41.7</w:t>
            </w:r>
            <w:r w:rsidR="00321499" w:rsidRPr="00321499">
              <w:t>%</w:t>
            </w:r>
          </w:p>
        </w:tc>
      </w:tr>
      <w:tr w:rsidR="00C46643" w14:paraId="472FDD96" w14:textId="77777777" w:rsidTr="00C46643">
        <w:tc>
          <w:tcPr>
            <w:tcW w:w="1699" w:type="dxa"/>
          </w:tcPr>
          <w:p w14:paraId="19235281" w14:textId="3A5E6DBD" w:rsidR="00C46643" w:rsidRDefault="00C46643" w:rsidP="00880055">
            <w:pPr>
              <w:pStyle w:val="Table-Header"/>
            </w:pPr>
            <w:r>
              <w:t>Three</w:t>
            </w:r>
          </w:p>
        </w:tc>
        <w:tc>
          <w:tcPr>
            <w:tcW w:w="1699" w:type="dxa"/>
          </w:tcPr>
          <w:p w14:paraId="7B20F028" w14:textId="6FA3753D" w:rsidR="00C46643" w:rsidRPr="00321499" w:rsidRDefault="002E5397" w:rsidP="00166483">
            <w:pPr>
              <w:pStyle w:val="Table-Text"/>
              <w:tabs>
                <w:tab w:val="decimal" w:pos="561"/>
              </w:tabs>
            </w:pPr>
            <w:r w:rsidRPr="00321499">
              <w:t>64.7</w:t>
            </w:r>
            <w:r w:rsidR="00321499" w:rsidRPr="00321499">
              <w:t>%</w:t>
            </w:r>
          </w:p>
        </w:tc>
        <w:tc>
          <w:tcPr>
            <w:tcW w:w="1699" w:type="dxa"/>
          </w:tcPr>
          <w:p w14:paraId="39AA31CE" w14:textId="566A31D5" w:rsidR="00C46643" w:rsidRPr="00321499" w:rsidRDefault="002E5397" w:rsidP="00166483">
            <w:pPr>
              <w:pStyle w:val="Table-Text"/>
              <w:tabs>
                <w:tab w:val="decimal" w:pos="561"/>
              </w:tabs>
            </w:pPr>
            <w:r w:rsidRPr="00321499">
              <w:t>46.7</w:t>
            </w:r>
            <w:r w:rsidR="00321499" w:rsidRPr="00321499">
              <w:t>%</w:t>
            </w:r>
          </w:p>
        </w:tc>
        <w:tc>
          <w:tcPr>
            <w:tcW w:w="1699" w:type="dxa"/>
          </w:tcPr>
          <w:p w14:paraId="51458EAA" w14:textId="2CC9A272" w:rsidR="00C46643" w:rsidRPr="00321499" w:rsidRDefault="002E5397" w:rsidP="00166483">
            <w:pPr>
              <w:pStyle w:val="Table-Text"/>
              <w:tabs>
                <w:tab w:val="decimal" w:pos="561"/>
              </w:tabs>
            </w:pPr>
            <w:r w:rsidRPr="00321499">
              <w:t>40.9</w:t>
            </w:r>
            <w:r w:rsidR="00321499" w:rsidRPr="00321499">
              <w:t>%</w:t>
            </w:r>
          </w:p>
        </w:tc>
        <w:tc>
          <w:tcPr>
            <w:tcW w:w="1699" w:type="dxa"/>
          </w:tcPr>
          <w:p w14:paraId="747EFFFF" w14:textId="6D951E43" w:rsidR="00C46643" w:rsidRPr="00321499" w:rsidRDefault="002E5397" w:rsidP="00166483">
            <w:pPr>
              <w:pStyle w:val="Table-Text"/>
              <w:tabs>
                <w:tab w:val="decimal" w:pos="561"/>
              </w:tabs>
            </w:pPr>
            <w:r w:rsidRPr="00321499">
              <w:t>41.7</w:t>
            </w:r>
            <w:r w:rsidR="00321499" w:rsidRPr="00321499">
              <w:t>%</w:t>
            </w:r>
          </w:p>
        </w:tc>
      </w:tr>
    </w:tbl>
    <w:p w14:paraId="377F8482" w14:textId="73183F7A" w:rsidR="009340A8" w:rsidRPr="00BE38FF" w:rsidRDefault="00A5022A" w:rsidP="00BA0351">
      <w:pPr>
        <w:pStyle w:val="BodyText"/>
        <w:spacing w:before="240"/>
      </w:pPr>
      <w:r w:rsidRPr="00A47F63">
        <w:t>Data extracted and analysed 7 July 2023.</w:t>
      </w:r>
    </w:p>
    <w:p w14:paraId="0D30B93A" w14:textId="77777777" w:rsidR="006C71F4" w:rsidRDefault="006C71F4" w:rsidP="003D3C42">
      <w:pPr>
        <w:pStyle w:val="BodyText"/>
      </w:pPr>
    </w:p>
    <w:p w14:paraId="54C76F89" w14:textId="10F9B09D" w:rsidR="00FF5B10" w:rsidRDefault="007203A7" w:rsidP="007203A7">
      <w:pPr>
        <w:pStyle w:val="Caption"/>
      </w:pPr>
      <w:r>
        <w:t xml:space="preserve">Table </w:t>
      </w:r>
      <w:r>
        <w:fldChar w:fldCharType="begin"/>
      </w:r>
      <w:r>
        <w:instrText xml:space="preserve"> SEQ Table \* ARABIC </w:instrText>
      </w:r>
      <w:r>
        <w:fldChar w:fldCharType="separate"/>
      </w:r>
      <w:r>
        <w:rPr>
          <w:noProof/>
        </w:rPr>
        <w:t>6</w:t>
      </w:r>
      <w:r>
        <w:fldChar w:fldCharType="end"/>
      </w:r>
      <w:r>
        <w:t xml:space="preserve"> Number of Protective Factors</w:t>
      </w:r>
    </w:p>
    <w:tbl>
      <w:tblPr>
        <w:tblStyle w:val="TableGrid"/>
        <w:tblW w:w="0" w:type="auto"/>
        <w:tblLook w:val="04A0" w:firstRow="1" w:lastRow="0" w:firstColumn="1" w:lastColumn="0" w:noHBand="0" w:noVBand="1"/>
      </w:tblPr>
      <w:tblGrid>
        <w:gridCol w:w="1699"/>
        <w:gridCol w:w="1699"/>
        <w:gridCol w:w="1699"/>
        <w:gridCol w:w="1699"/>
        <w:gridCol w:w="1699"/>
      </w:tblGrid>
      <w:tr w:rsidR="00A5022A" w14:paraId="1FA61E00" w14:textId="77777777" w:rsidTr="00C825AF">
        <w:tc>
          <w:tcPr>
            <w:tcW w:w="1699" w:type="dxa"/>
          </w:tcPr>
          <w:p w14:paraId="357872DB" w14:textId="77777777" w:rsidR="00A5022A" w:rsidRDefault="00A5022A" w:rsidP="00A5022A">
            <w:pPr>
              <w:pStyle w:val="BodyText"/>
            </w:pPr>
          </w:p>
        </w:tc>
        <w:tc>
          <w:tcPr>
            <w:tcW w:w="1699" w:type="dxa"/>
          </w:tcPr>
          <w:p w14:paraId="68DB11F3" w14:textId="1AF4D87E" w:rsidR="00A5022A" w:rsidRPr="00A5022A" w:rsidRDefault="00A5022A" w:rsidP="00880055">
            <w:pPr>
              <w:pStyle w:val="Table-Header"/>
            </w:pPr>
            <w:r w:rsidRPr="00A5022A">
              <w:t xml:space="preserve">Period 5: </w:t>
            </w:r>
            <w:r>
              <w:br/>
            </w:r>
            <w:r w:rsidRPr="00A5022A">
              <w:t>Jul</w:t>
            </w:r>
            <w:r w:rsidR="00AA7220">
              <w:t>–</w:t>
            </w:r>
            <w:r w:rsidRPr="00A5022A">
              <w:t>Sep 22</w:t>
            </w:r>
            <w:r>
              <w:br/>
            </w:r>
            <w:r w:rsidRPr="00A5022A">
              <w:t>RF Referrals</w:t>
            </w:r>
            <w:r>
              <w:br/>
            </w:r>
            <w:r w:rsidRPr="00A5022A">
              <w:t>n=17</w:t>
            </w:r>
          </w:p>
        </w:tc>
        <w:tc>
          <w:tcPr>
            <w:tcW w:w="1699" w:type="dxa"/>
          </w:tcPr>
          <w:p w14:paraId="374C81AD" w14:textId="49035DF2" w:rsidR="00A5022A" w:rsidRPr="00A5022A" w:rsidRDefault="00A5022A" w:rsidP="00880055">
            <w:pPr>
              <w:pStyle w:val="Table-Header"/>
            </w:pPr>
            <w:r w:rsidRPr="00A5022A">
              <w:t>Period 6:</w:t>
            </w:r>
            <w:r>
              <w:br/>
            </w:r>
            <w:r w:rsidRPr="00A5022A">
              <w:t>Oct</w:t>
            </w:r>
            <w:r w:rsidR="00AA7220">
              <w:t>–</w:t>
            </w:r>
            <w:r w:rsidRPr="00A5022A">
              <w:t>Dec 22</w:t>
            </w:r>
            <w:r>
              <w:br/>
            </w:r>
            <w:r w:rsidRPr="00A5022A">
              <w:t>RF Referrals</w:t>
            </w:r>
            <w:r>
              <w:br/>
            </w:r>
            <w:r w:rsidRPr="00A5022A">
              <w:t>n=15</w:t>
            </w:r>
          </w:p>
        </w:tc>
        <w:tc>
          <w:tcPr>
            <w:tcW w:w="1699" w:type="dxa"/>
            <w:vAlign w:val="center"/>
          </w:tcPr>
          <w:p w14:paraId="0D17A0FE" w14:textId="63FDC13E" w:rsidR="00A5022A" w:rsidRPr="00A5022A" w:rsidRDefault="00A5022A" w:rsidP="00880055">
            <w:pPr>
              <w:pStyle w:val="Table-Header"/>
            </w:pPr>
            <w:r w:rsidRPr="00A5022A">
              <w:t>Period 7:</w:t>
            </w:r>
            <w:r>
              <w:br/>
            </w:r>
            <w:r w:rsidRPr="00A5022A">
              <w:t>Jan</w:t>
            </w:r>
            <w:r w:rsidR="00AA7220">
              <w:t>–</w:t>
            </w:r>
            <w:r w:rsidRPr="00A5022A">
              <w:t>Mar 23</w:t>
            </w:r>
            <w:r>
              <w:br/>
            </w:r>
            <w:r w:rsidRPr="00A5022A">
              <w:t>RF Referrals</w:t>
            </w:r>
            <w:r>
              <w:br/>
            </w:r>
            <w:r w:rsidRPr="00A5022A">
              <w:t>n=22</w:t>
            </w:r>
          </w:p>
        </w:tc>
        <w:tc>
          <w:tcPr>
            <w:tcW w:w="1699" w:type="dxa"/>
          </w:tcPr>
          <w:p w14:paraId="5E87ED43" w14:textId="5F031E6E" w:rsidR="00A5022A" w:rsidRPr="00A5022A" w:rsidRDefault="00A5022A" w:rsidP="00880055">
            <w:pPr>
              <w:pStyle w:val="Table-Header"/>
            </w:pPr>
            <w:r w:rsidRPr="00A5022A">
              <w:t>Period 8:</w:t>
            </w:r>
            <w:r w:rsidR="00AA7220">
              <w:br/>
            </w:r>
            <w:r w:rsidRPr="00A5022A">
              <w:t xml:space="preserve"> Apr</w:t>
            </w:r>
            <w:r w:rsidR="00AA7220">
              <w:t>–</w:t>
            </w:r>
            <w:r w:rsidRPr="00A5022A">
              <w:t>Jun 23</w:t>
            </w:r>
            <w:r w:rsidR="00AA7220">
              <w:br/>
            </w:r>
            <w:r w:rsidRPr="00A5022A">
              <w:t>RF Referrals</w:t>
            </w:r>
            <w:r w:rsidR="00AA7220">
              <w:br/>
            </w:r>
            <w:r w:rsidRPr="00A5022A">
              <w:t>n=24</w:t>
            </w:r>
          </w:p>
        </w:tc>
      </w:tr>
      <w:tr w:rsidR="00A5022A" w14:paraId="6724E563" w14:textId="77777777" w:rsidTr="00921CBE">
        <w:tc>
          <w:tcPr>
            <w:tcW w:w="1699" w:type="dxa"/>
          </w:tcPr>
          <w:p w14:paraId="42D9A6BD" w14:textId="667C600C" w:rsidR="00A5022A" w:rsidRDefault="00A5022A" w:rsidP="00880055">
            <w:pPr>
              <w:pStyle w:val="Table-Header"/>
            </w:pPr>
            <w:r>
              <w:t>0</w:t>
            </w:r>
          </w:p>
        </w:tc>
        <w:tc>
          <w:tcPr>
            <w:tcW w:w="1699" w:type="dxa"/>
          </w:tcPr>
          <w:p w14:paraId="32DE781A" w14:textId="1CF8DB07" w:rsidR="00A5022A" w:rsidRPr="00321499" w:rsidRDefault="00AA7220" w:rsidP="006A34FE">
            <w:pPr>
              <w:pStyle w:val="Table-Text"/>
              <w:tabs>
                <w:tab w:val="decimal" w:pos="598"/>
              </w:tabs>
            </w:pPr>
            <w:r>
              <w:t>41.2</w:t>
            </w:r>
            <w:r w:rsidR="00E27BD7">
              <w:t>%</w:t>
            </w:r>
          </w:p>
        </w:tc>
        <w:tc>
          <w:tcPr>
            <w:tcW w:w="1699" w:type="dxa"/>
          </w:tcPr>
          <w:p w14:paraId="1BB25650" w14:textId="128380B3" w:rsidR="00A5022A" w:rsidRPr="00321499" w:rsidRDefault="00AA7220" w:rsidP="006A34FE">
            <w:pPr>
              <w:pStyle w:val="Table-Text"/>
              <w:tabs>
                <w:tab w:val="decimal" w:pos="598"/>
              </w:tabs>
            </w:pPr>
            <w:r>
              <w:t>33.3</w:t>
            </w:r>
            <w:r w:rsidR="00E27BD7">
              <w:t>%</w:t>
            </w:r>
          </w:p>
        </w:tc>
        <w:tc>
          <w:tcPr>
            <w:tcW w:w="1699" w:type="dxa"/>
          </w:tcPr>
          <w:p w14:paraId="23A5FEE0" w14:textId="103C917C" w:rsidR="00A5022A" w:rsidRPr="00321499" w:rsidRDefault="00AA7220" w:rsidP="006A34FE">
            <w:pPr>
              <w:pStyle w:val="Table-Text"/>
              <w:tabs>
                <w:tab w:val="decimal" w:pos="598"/>
              </w:tabs>
            </w:pPr>
            <w:r>
              <w:t>72.7</w:t>
            </w:r>
            <w:r w:rsidR="00E27BD7">
              <w:t>%</w:t>
            </w:r>
          </w:p>
        </w:tc>
        <w:tc>
          <w:tcPr>
            <w:tcW w:w="1699" w:type="dxa"/>
          </w:tcPr>
          <w:p w14:paraId="322F999D" w14:textId="330F0ADB" w:rsidR="00A5022A" w:rsidRPr="00321499" w:rsidRDefault="00AA7220" w:rsidP="006A34FE">
            <w:pPr>
              <w:pStyle w:val="Table-Text"/>
              <w:tabs>
                <w:tab w:val="decimal" w:pos="598"/>
              </w:tabs>
            </w:pPr>
            <w:r>
              <w:t>58.3</w:t>
            </w:r>
            <w:r w:rsidR="00E27BD7">
              <w:t>%</w:t>
            </w:r>
          </w:p>
        </w:tc>
      </w:tr>
      <w:tr w:rsidR="00A5022A" w14:paraId="3DBFE924" w14:textId="77777777" w:rsidTr="00921CBE">
        <w:tc>
          <w:tcPr>
            <w:tcW w:w="1699" w:type="dxa"/>
          </w:tcPr>
          <w:p w14:paraId="0D810080" w14:textId="4C7D9F60" w:rsidR="00A5022A" w:rsidRDefault="00A5022A" w:rsidP="00880055">
            <w:pPr>
              <w:pStyle w:val="Table-Header"/>
            </w:pPr>
            <w:r>
              <w:t>1</w:t>
            </w:r>
          </w:p>
        </w:tc>
        <w:tc>
          <w:tcPr>
            <w:tcW w:w="1699" w:type="dxa"/>
          </w:tcPr>
          <w:p w14:paraId="28FCF9CE" w14:textId="17457F65" w:rsidR="00A5022A" w:rsidRPr="00321499" w:rsidRDefault="00E27BD7" w:rsidP="006A34FE">
            <w:pPr>
              <w:pStyle w:val="Table-Text"/>
              <w:tabs>
                <w:tab w:val="decimal" w:pos="598"/>
              </w:tabs>
            </w:pPr>
            <w:r>
              <w:t>35.3%</w:t>
            </w:r>
          </w:p>
        </w:tc>
        <w:tc>
          <w:tcPr>
            <w:tcW w:w="1699" w:type="dxa"/>
          </w:tcPr>
          <w:p w14:paraId="0C081C5F" w14:textId="2523FCD2" w:rsidR="00A5022A" w:rsidRPr="00321499" w:rsidRDefault="00E27BD7" w:rsidP="006A34FE">
            <w:pPr>
              <w:pStyle w:val="Table-Text"/>
              <w:tabs>
                <w:tab w:val="decimal" w:pos="598"/>
              </w:tabs>
            </w:pPr>
            <w:r>
              <w:t>53.3%</w:t>
            </w:r>
          </w:p>
        </w:tc>
        <w:tc>
          <w:tcPr>
            <w:tcW w:w="1699" w:type="dxa"/>
          </w:tcPr>
          <w:p w14:paraId="2E351565" w14:textId="706CE9FD" w:rsidR="00A5022A" w:rsidRPr="00321499" w:rsidRDefault="00E27BD7" w:rsidP="006A34FE">
            <w:pPr>
              <w:pStyle w:val="Table-Text"/>
              <w:tabs>
                <w:tab w:val="decimal" w:pos="598"/>
              </w:tabs>
            </w:pPr>
            <w:r>
              <w:t>18.2%</w:t>
            </w:r>
          </w:p>
        </w:tc>
        <w:tc>
          <w:tcPr>
            <w:tcW w:w="1699" w:type="dxa"/>
          </w:tcPr>
          <w:p w14:paraId="458295F6" w14:textId="65084CD4" w:rsidR="00A5022A" w:rsidRPr="00321499" w:rsidRDefault="00E27BD7" w:rsidP="006A34FE">
            <w:pPr>
              <w:pStyle w:val="Table-Text"/>
              <w:tabs>
                <w:tab w:val="decimal" w:pos="598"/>
              </w:tabs>
            </w:pPr>
            <w:r>
              <w:t>25.0%</w:t>
            </w:r>
          </w:p>
        </w:tc>
      </w:tr>
      <w:tr w:rsidR="00A5022A" w14:paraId="4B14D854" w14:textId="77777777" w:rsidTr="00921CBE">
        <w:tc>
          <w:tcPr>
            <w:tcW w:w="1699" w:type="dxa"/>
          </w:tcPr>
          <w:p w14:paraId="065FDDB4" w14:textId="6B9D23B8" w:rsidR="00A5022A" w:rsidRDefault="00A5022A" w:rsidP="00880055">
            <w:pPr>
              <w:pStyle w:val="Table-Header"/>
            </w:pPr>
            <w:r>
              <w:t>2 or more</w:t>
            </w:r>
          </w:p>
        </w:tc>
        <w:tc>
          <w:tcPr>
            <w:tcW w:w="1699" w:type="dxa"/>
          </w:tcPr>
          <w:p w14:paraId="26C8EAC7" w14:textId="5A20CB57" w:rsidR="00A5022A" w:rsidRPr="00321499" w:rsidRDefault="00E27BD7" w:rsidP="006A34FE">
            <w:pPr>
              <w:pStyle w:val="Table-Text"/>
              <w:tabs>
                <w:tab w:val="decimal" w:pos="598"/>
              </w:tabs>
            </w:pPr>
            <w:r>
              <w:t>5.9%</w:t>
            </w:r>
          </w:p>
        </w:tc>
        <w:tc>
          <w:tcPr>
            <w:tcW w:w="1699" w:type="dxa"/>
          </w:tcPr>
          <w:p w14:paraId="04E3AA77" w14:textId="25C9882E" w:rsidR="00A5022A" w:rsidRPr="00321499" w:rsidRDefault="00E27BD7" w:rsidP="006A34FE">
            <w:pPr>
              <w:pStyle w:val="Table-Text"/>
              <w:tabs>
                <w:tab w:val="decimal" w:pos="598"/>
              </w:tabs>
            </w:pPr>
            <w:r>
              <w:t>6.7%</w:t>
            </w:r>
          </w:p>
        </w:tc>
        <w:tc>
          <w:tcPr>
            <w:tcW w:w="1699" w:type="dxa"/>
          </w:tcPr>
          <w:p w14:paraId="2D0F465D" w14:textId="395604A7" w:rsidR="00A5022A" w:rsidRPr="00321499" w:rsidRDefault="00E27BD7" w:rsidP="006A34FE">
            <w:pPr>
              <w:pStyle w:val="Table-Text"/>
              <w:tabs>
                <w:tab w:val="decimal" w:pos="598"/>
              </w:tabs>
            </w:pPr>
            <w:r>
              <w:t>4.5%</w:t>
            </w:r>
          </w:p>
        </w:tc>
        <w:tc>
          <w:tcPr>
            <w:tcW w:w="1699" w:type="dxa"/>
          </w:tcPr>
          <w:p w14:paraId="3E0B1AED" w14:textId="5BB53A63" w:rsidR="00A5022A" w:rsidRPr="00321499" w:rsidRDefault="00E27BD7" w:rsidP="006A34FE">
            <w:pPr>
              <w:pStyle w:val="Table-Text"/>
              <w:tabs>
                <w:tab w:val="decimal" w:pos="598"/>
              </w:tabs>
            </w:pPr>
            <w:r>
              <w:t>8.3%</w:t>
            </w:r>
          </w:p>
        </w:tc>
      </w:tr>
    </w:tbl>
    <w:p w14:paraId="184AE89F" w14:textId="5CB645A2" w:rsidR="00A5022A" w:rsidRPr="00BE38FF" w:rsidRDefault="00E27BD7" w:rsidP="004A5AAA">
      <w:pPr>
        <w:pStyle w:val="BodyText"/>
        <w:spacing w:before="240"/>
      </w:pPr>
      <w:r w:rsidRPr="00A47F63">
        <w:t>Data extracted and analysed 7 July 2023.</w:t>
      </w:r>
    </w:p>
    <w:p w14:paraId="7FFD6965" w14:textId="77777777" w:rsidR="00F65F85" w:rsidRPr="00EC72BC" w:rsidRDefault="00F65F85">
      <w:pPr>
        <w:keepLines w:val="0"/>
        <w:spacing w:line="240" w:lineRule="auto"/>
      </w:pPr>
      <w:bookmarkStart w:id="72" w:name="_Toc145935889"/>
      <w:r>
        <w:br w:type="page"/>
      </w:r>
    </w:p>
    <w:p w14:paraId="75690600" w14:textId="4A9280D6" w:rsidR="00836431" w:rsidRPr="00E427A9" w:rsidRDefault="00DB67FB" w:rsidP="00F7682F">
      <w:pPr>
        <w:pStyle w:val="Heading2"/>
      </w:pPr>
      <w:bookmarkStart w:id="73" w:name="_Toc147318177"/>
      <w:bookmarkStart w:id="74" w:name="_Toc149817458"/>
      <w:r w:rsidRPr="00E427A9">
        <w:lastRenderedPageBreak/>
        <w:t>Wellbeing and outcome</w:t>
      </w:r>
      <w:r w:rsidR="00836431" w:rsidRPr="00E427A9">
        <w:t xml:space="preserve"> </w:t>
      </w:r>
      <w:r w:rsidRPr="00E427A9">
        <w:t>i</w:t>
      </w:r>
      <w:r w:rsidR="00836431" w:rsidRPr="00E427A9">
        <w:t>ndicators</w:t>
      </w:r>
      <w:bookmarkEnd w:id="72"/>
      <w:bookmarkEnd w:id="73"/>
      <w:bookmarkEnd w:id="74"/>
    </w:p>
    <w:p w14:paraId="5FE463C6" w14:textId="18572E88" w:rsidR="00393AB7" w:rsidRPr="00963AA1" w:rsidRDefault="00393AB7" w:rsidP="009E6CEB">
      <w:pPr>
        <w:pStyle w:val="BodyText"/>
      </w:pPr>
      <w:r w:rsidRPr="00963AA1">
        <w:t>The Family Outcomes Tool comprises four standardised measures of wellbeing, mental health, and empowerment, specifically, the: Personal Wellbeing Index (PWI), Parent Empowerment and Efficacy Measure (PEEM), Kessler Psychological Distress Scale (K10, K5), and the Strengths and Difficulties Questionnaire (SDQ). The first three measures are parent</w:t>
      </w:r>
      <w:r w:rsidR="006D1D4D">
        <w:t>-</w:t>
      </w:r>
      <w:r w:rsidRPr="00963AA1">
        <w:t>focused, with the latter measure child</w:t>
      </w:r>
      <w:r w:rsidR="006D1D4D">
        <w:t>-</w:t>
      </w:r>
      <w:r w:rsidRPr="00963AA1">
        <w:t xml:space="preserve">focused. </w:t>
      </w:r>
    </w:p>
    <w:p w14:paraId="1030474F" w14:textId="4272D2A0" w:rsidR="00393AB7" w:rsidRPr="00963AA1" w:rsidRDefault="00393AB7" w:rsidP="009E6CEB">
      <w:pPr>
        <w:pStyle w:val="BodyText"/>
      </w:pPr>
      <w:r w:rsidRPr="00963AA1">
        <w:t>In 2022</w:t>
      </w:r>
      <w:r w:rsidR="00BE38FF" w:rsidRPr="00963AA1">
        <w:t>–</w:t>
      </w:r>
      <w:r w:rsidRPr="00963AA1">
        <w:t>23, 141 Family Outcomes Tools were completed with 82 unique families in the R</w:t>
      </w:r>
      <w:r w:rsidR="004A12C7">
        <w:t xml:space="preserve">esilient </w:t>
      </w:r>
      <w:r w:rsidRPr="00963AA1">
        <w:t>F</w:t>
      </w:r>
      <w:r w:rsidR="004A12C7">
        <w:t>amilies (RF)</w:t>
      </w:r>
      <w:r w:rsidRPr="00963AA1">
        <w:t xml:space="preserve"> program. Of these outcomes tools, 56 (40%) were completed at initial assessment, 65 (46%) were completed at review, and 20 (14%) were completed at closure of the program. For context, initial assessment outcomes tools are completed within 30 days of referral, review outcomes tools are completed at four monthly intervals during service delivery, and closure outcomes tools are completed when families successfully complete the program with their case plan goals met, or when they otherwise exit the program, where possible. </w:t>
      </w:r>
    </w:p>
    <w:p w14:paraId="1668895B" w14:textId="10C94479" w:rsidR="00393AB7" w:rsidRPr="00963AA1" w:rsidRDefault="00393AB7" w:rsidP="009E6CEB">
      <w:pPr>
        <w:pStyle w:val="BodyText"/>
      </w:pPr>
      <w:r w:rsidRPr="00963AA1">
        <w:t xml:space="preserve">The outcomes data presented here is limited to matched data, that is, families active </w:t>
      </w:r>
      <w:r w:rsidR="00192632" w:rsidRPr="00963AA1">
        <w:br/>
      </w:r>
      <w:r w:rsidRPr="00963AA1">
        <w:t>in 2022</w:t>
      </w:r>
      <w:r w:rsidR="001C2DF6">
        <w:t>–</w:t>
      </w:r>
      <w:r w:rsidRPr="00963AA1">
        <w:t>23 with an initial assessment and at least one follow-up response (review and/or closure), of which there are 57 unique families for this period</w:t>
      </w:r>
      <w:r w:rsidR="00192632" w:rsidRPr="00494786">
        <w:rPr>
          <w:rStyle w:val="StyleFootnoteReferenceDarkRed"/>
        </w:rPr>
        <w:footnoteReference w:id="8"/>
      </w:r>
      <w:r w:rsidRPr="00963AA1">
        <w:t xml:space="preserve">. Note that this data includes outcomes data recorded in previous years for these families. </w:t>
      </w:r>
    </w:p>
    <w:p w14:paraId="316E1B7A" w14:textId="0B3D2C96" w:rsidR="00393AB7" w:rsidRPr="00963AA1" w:rsidRDefault="00393AB7" w:rsidP="009E6CEB">
      <w:pPr>
        <w:pStyle w:val="BodyText"/>
      </w:pPr>
      <w:r w:rsidRPr="00963AA1">
        <w:t>For the 2022</w:t>
      </w:r>
      <w:r w:rsidR="001C2DF6">
        <w:t>–</w:t>
      </w:r>
      <w:r w:rsidRPr="00963AA1">
        <w:t>23 financial year, client outcomes were observed</w:t>
      </w:r>
      <w:r w:rsidR="000A01E1" w:rsidRPr="00963AA1">
        <w:t xml:space="preserve"> across adult </w:t>
      </w:r>
      <w:r w:rsidR="00192632" w:rsidRPr="00963AA1">
        <w:br/>
      </w:r>
      <w:r w:rsidR="000A01E1" w:rsidRPr="00963AA1">
        <w:t xml:space="preserve">wellbeing, child wellbeing, </w:t>
      </w:r>
      <w:r w:rsidR="00894972" w:rsidRPr="00963AA1">
        <w:t>empowerment,</w:t>
      </w:r>
      <w:r w:rsidR="000A01E1" w:rsidRPr="00963AA1">
        <w:t xml:space="preserve"> and mental health. These are detailed in </w:t>
      </w:r>
      <w:r w:rsidR="00192632" w:rsidRPr="00963AA1">
        <w:br/>
      </w:r>
      <w:r w:rsidR="000A01E1" w:rsidRPr="00963AA1">
        <w:t>the sections below.</w:t>
      </w:r>
    </w:p>
    <w:p w14:paraId="7CF1A3CF" w14:textId="77777777" w:rsidR="00BD3771" w:rsidRPr="00EC72BC" w:rsidRDefault="00BD3771">
      <w:pPr>
        <w:keepLines w:val="0"/>
        <w:spacing w:line="240" w:lineRule="auto"/>
      </w:pPr>
      <w:bookmarkStart w:id="75" w:name="_Toc145935890"/>
      <w:r>
        <w:br w:type="page"/>
      </w:r>
    </w:p>
    <w:p w14:paraId="52EC9634" w14:textId="7E51BFB0" w:rsidR="00DB67FB" w:rsidRPr="006A2B4C" w:rsidRDefault="00DB67FB" w:rsidP="00F7682F">
      <w:pPr>
        <w:pStyle w:val="Heading3"/>
      </w:pPr>
      <w:bookmarkStart w:id="76" w:name="_Toc149817459"/>
      <w:r w:rsidRPr="003A110E">
        <w:lastRenderedPageBreak/>
        <w:t>Adult</w:t>
      </w:r>
      <w:r w:rsidRPr="006A2B4C">
        <w:t xml:space="preserve"> wellbeing</w:t>
      </w:r>
      <w:bookmarkEnd w:id="75"/>
      <w:bookmarkEnd w:id="76"/>
      <w:r w:rsidRPr="006A2B4C">
        <w:t xml:space="preserve"> </w:t>
      </w:r>
    </w:p>
    <w:p w14:paraId="487B2D06" w14:textId="77777777" w:rsidR="00BD155D" w:rsidRDefault="007C54D5" w:rsidP="009E6CEB">
      <w:pPr>
        <w:pStyle w:val="BodyText"/>
      </w:pPr>
      <w:r w:rsidRPr="00963AA1">
        <w:t xml:space="preserve">Subjective adult wellbeing for parents/carers in RF is measured using the </w:t>
      </w:r>
      <w:r w:rsidR="00BD155D" w:rsidRPr="00BD155D">
        <w:t>Personal Wellbeing Index (PWI)</w:t>
      </w:r>
      <w:r w:rsidRPr="00963AA1">
        <w:t>.</w:t>
      </w:r>
    </w:p>
    <w:p w14:paraId="01C6D77B" w14:textId="0C30D57F" w:rsidR="007C54D5" w:rsidRPr="00963AA1" w:rsidRDefault="007C54D5" w:rsidP="009E6CEB">
      <w:pPr>
        <w:pStyle w:val="BodyText"/>
      </w:pPr>
      <w:r w:rsidRPr="00963AA1">
        <w:t>For clients active in RF in 2022</w:t>
      </w:r>
      <w:r w:rsidR="00975312" w:rsidRPr="00963AA1">
        <w:t>–</w:t>
      </w:r>
      <w:r w:rsidRPr="00963AA1">
        <w:t xml:space="preserve">23, there was an increase in wellbeing over the assessment period. </w:t>
      </w:r>
    </w:p>
    <w:p w14:paraId="44454374" w14:textId="1E15BDA3" w:rsidR="007C54D5" w:rsidRPr="00963AA1" w:rsidRDefault="007C54D5" w:rsidP="009E6CEB">
      <w:pPr>
        <w:pStyle w:val="BodyText"/>
      </w:pPr>
      <w:r w:rsidRPr="00963AA1">
        <w:t>At initial assessment, the average PWI score was 67.4 (n = 61), and subsequently increased to 69.5 (n = 83) at review to 75.9 (n=21) at closure. This closure scores sits just above the Australian population average of 75.4</w:t>
      </w:r>
      <w:r w:rsidR="00680BAF" w:rsidRPr="00494786">
        <w:rPr>
          <w:rStyle w:val="StyleFootnoteReferenceDarkRed"/>
        </w:rPr>
        <w:footnoteReference w:id="9"/>
      </w:r>
      <w:r w:rsidR="00043453" w:rsidRPr="00963AA1">
        <w:t xml:space="preserve"> </w:t>
      </w:r>
      <w:r w:rsidRPr="00963AA1">
        <w:t xml:space="preserve">and 57% of closure scores were within or above the normative range for Australia. </w:t>
      </w:r>
    </w:p>
    <w:p w14:paraId="303994B5" w14:textId="69BAA6CE" w:rsidR="007C54D5" w:rsidRPr="00963AA1" w:rsidRDefault="007C54D5" w:rsidP="009E6CEB">
      <w:pPr>
        <w:pStyle w:val="BodyText"/>
      </w:pPr>
      <w:r w:rsidRPr="00963AA1">
        <w:t xml:space="preserve">A primary area of work in RF is focused on the adult’s wellbeing and improving their connection to family, social and community to support a more positive outlook. </w:t>
      </w:r>
      <w:r w:rsidR="00D17015" w:rsidRPr="00963AA1">
        <w:t xml:space="preserve">These increase in PWI scores across the service duration show </w:t>
      </w:r>
      <w:r w:rsidR="002A566C" w:rsidRPr="00963AA1">
        <w:t xml:space="preserve">an increase in the subject adult wellbeing for parents/carers, and is supported by qualitative feedback </w:t>
      </w:r>
      <w:r w:rsidRPr="00963AA1">
        <w:t>reported through data collection measures</w:t>
      </w:r>
      <w:r w:rsidR="002A566C" w:rsidRPr="00963AA1">
        <w:t>, including</w:t>
      </w:r>
      <w:r w:rsidRPr="00963AA1">
        <w:t xml:space="preserve">: </w:t>
      </w:r>
    </w:p>
    <w:p w14:paraId="2C0AACE3" w14:textId="77777777" w:rsidR="007C54D5" w:rsidRPr="00963AA1" w:rsidRDefault="007C54D5" w:rsidP="009E6CEB">
      <w:pPr>
        <w:pStyle w:val="BodyText"/>
      </w:pPr>
      <w:r w:rsidRPr="00963AA1">
        <w:t xml:space="preserve">“My family and relationship is back and we are a family unit again”. </w:t>
      </w:r>
    </w:p>
    <w:p w14:paraId="67A1BA62" w14:textId="77F4B252" w:rsidR="006E3D10" w:rsidRPr="00963AA1" w:rsidRDefault="007C54D5" w:rsidP="009E6CEB">
      <w:pPr>
        <w:pStyle w:val="BodyText"/>
      </w:pPr>
      <w:r w:rsidRPr="00963AA1">
        <w:t>“[I am] feeling lighter, more organised, less stress, clearer thinking, functioning better, having advice and guidance and support on how to help my children and myself.”</w:t>
      </w:r>
    </w:p>
    <w:p w14:paraId="1225B78B" w14:textId="01B12B74" w:rsidR="00DB67FB" w:rsidRPr="006A2B4C" w:rsidRDefault="00DB67FB" w:rsidP="00F7682F">
      <w:pPr>
        <w:pStyle w:val="Heading3"/>
      </w:pPr>
      <w:bookmarkStart w:id="77" w:name="_Toc145935891"/>
      <w:bookmarkStart w:id="78" w:name="_Toc149817460"/>
      <w:r w:rsidRPr="006A2B4C">
        <w:t>Child wellbeing</w:t>
      </w:r>
      <w:bookmarkEnd w:id="77"/>
      <w:bookmarkEnd w:id="78"/>
      <w:r w:rsidRPr="006A2B4C">
        <w:t xml:space="preserve"> </w:t>
      </w:r>
    </w:p>
    <w:p w14:paraId="5CE780E6" w14:textId="1DD650C8" w:rsidR="005322AF" w:rsidRPr="00963AA1" w:rsidRDefault="00BD3771" w:rsidP="009E6CEB">
      <w:pPr>
        <w:pStyle w:val="BodyText"/>
      </w:pPr>
      <w:r w:rsidRPr="00963AA1">
        <w:t xml:space="preserve">The </w:t>
      </w:r>
      <w:r w:rsidR="00B25DC2" w:rsidRPr="00B25DC2">
        <w:t>Strengths and Difficulties Questionnaire (SDQ)</w:t>
      </w:r>
      <w:r w:rsidR="00B25DC2">
        <w:t xml:space="preserve"> </w:t>
      </w:r>
      <w:r w:rsidRPr="00963AA1">
        <w:t>focuses on observable behaviours relating to a child’s socio</w:t>
      </w:r>
      <w:r w:rsidR="006D1D4D">
        <w:t>-</w:t>
      </w:r>
      <w:r w:rsidRPr="00963AA1">
        <w:t>emotional wellbeing. It is only administered to parents/caregivers of children aged 2+ years and for this reason there is a smaller sample size for SDQ data. For clients active in 2022</w:t>
      </w:r>
      <w:r w:rsidR="00975312" w:rsidRPr="00963AA1">
        <w:t>–</w:t>
      </w:r>
      <w:r w:rsidRPr="00963AA1">
        <w:t xml:space="preserve">23, the average total difficulty score at initial assessment was 12.4 (n = 30). This increased at review (15.1, n = 46), indicating an increase in observed difficulties over this period. </w:t>
      </w:r>
    </w:p>
    <w:p w14:paraId="1A36ED64" w14:textId="2E9B8040" w:rsidR="00F3135C" w:rsidRPr="00963AA1" w:rsidRDefault="009715F8" w:rsidP="009E6CEB">
      <w:pPr>
        <w:pStyle w:val="BodyText"/>
      </w:pPr>
      <w:r w:rsidRPr="00963AA1">
        <w:lastRenderedPageBreak/>
        <w:t xml:space="preserve">Reflecting on the improvement in parental wellbeing over this period, it may also be indicative of improved parental engagement and awareness of behaviours relating to </w:t>
      </w:r>
      <w:r w:rsidR="00BD25FC" w:rsidRPr="00963AA1">
        <w:br/>
      </w:r>
      <w:r w:rsidRPr="00963AA1">
        <w:t>a child’s socio</w:t>
      </w:r>
      <w:r w:rsidR="006D1D4D">
        <w:t>-</w:t>
      </w:r>
      <w:r w:rsidRPr="00963AA1">
        <w:t>emotional wellbeing. These difficulties reduced at closure to 11.9 (n=11), indicating an improvement in children’s socio</w:t>
      </w:r>
      <w:r w:rsidR="006D1D4D">
        <w:t>-</w:t>
      </w:r>
      <w:r w:rsidRPr="00963AA1">
        <w:t xml:space="preserve">emotional wellbeing over the full assessment period. The average score at closure is considered “close to average” </w:t>
      </w:r>
      <w:r w:rsidR="006D51F5" w:rsidRPr="00963AA1">
        <w:t>with</w:t>
      </w:r>
      <w:r w:rsidRPr="00963AA1">
        <w:t xml:space="preserve"> 64% of closure scores </w:t>
      </w:r>
      <w:r w:rsidR="006D51F5" w:rsidRPr="00963AA1">
        <w:t>within this</w:t>
      </w:r>
      <w:r w:rsidRPr="00963AA1">
        <w:t xml:space="preserve"> “close to average” range. </w:t>
      </w:r>
    </w:p>
    <w:p w14:paraId="61C211BF" w14:textId="7CA4B9EE" w:rsidR="009715F8" w:rsidRPr="00963AA1" w:rsidRDefault="009715F8" w:rsidP="009E6CEB">
      <w:pPr>
        <w:pStyle w:val="BodyText"/>
      </w:pPr>
      <w:r w:rsidRPr="00963AA1">
        <w:t>Children aged 2</w:t>
      </w:r>
      <w:r w:rsidR="00C33E9D" w:rsidRPr="00963AA1">
        <w:t xml:space="preserve"> to </w:t>
      </w:r>
      <w:r w:rsidRPr="00963AA1">
        <w:t>4 years at initial assessment had, on average, lower scores at all assessment periods compared to older children (5</w:t>
      </w:r>
      <w:r w:rsidR="00C33E9D" w:rsidRPr="00963AA1">
        <w:t xml:space="preserve"> to </w:t>
      </w:r>
      <w:r w:rsidRPr="00963AA1">
        <w:t xml:space="preserve">8 years at initial assessment). Scores decreased from 10.9 (n=17) to 10.3 (n=7) for the younger age </w:t>
      </w:r>
      <w:r w:rsidR="00313458" w:rsidRPr="00963AA1">
        <w:t>group,</w:t>
      </w:r>
      <w:r w:rsidRPr="00963AA1">
        <w:t xml:space="preserve"> while scores increased slightly for the older age group from 14.4 (n=13) at initial assessment to 14.8 (n=4) at closure. This finding, while based on relatively small sample sizes, may indicate that younger children referred to RF demonstrate fewer social and emotional wellbeing concerns, compared to those in the older age cohort.</w:t>
      </w:r>
    </w:p>
    <w:p w14:paraId="6D2FACD1" w14:textId="77777777" w:rsidR="009715F8" w:rsidRPr="00963AA1" w:rsidRDefault="009715F8" w:rsidP="009E6CEB">
      <w:pPr>
        <w:pStyle w:val="BodyText"/>
      </w:pPr>
      <w:r w:rsidRPr="00963AA1">
        <w:t xml:space="preserve">Qualitative data collected from parents/caregivers reflects on some of the changes in their child/ren, and the effect on their wellbeing: </w:t>
      </w:r>
    </w:p>
    <w:p w14:paraId="5905C55C" w14:textId="77777777" w:rsidR="009715F8" w:rsidRPr="00963AA1" w:rsidRDefault="009715F8" w:rsidP="009E6CEB">
      <w:pPr>
        <w:pStyle w:val="BodyText"/>
      </w:pPr>
      <w:r w:rsidRPr="00963AA1">
        <w:t xml:space="preserve">“For [my son] massive change in his behaviour. I can now handle his tantrums and intervene earlier.” </w:t>
      </w:r>
    </w:p>
    <w:p w14:paraId="54F067D6" w14:textId="6DDB3D6B" w:rsidR="006E3D10" w:rsidRPr="00963AA1" w:rsidRDefault="00313458" w:rsidP="009E6CEB">
      <w:pPr>
        <w:pStyle w:val="BodyText"/>
      </w:pPr>
      <w:r w:rsidRPr="00963AA1">
        <w:t>“</w:t>
      </w:r>
      <w:r w:rsidR="009715F8" w:rsidRPr="00963AA1">
        <w:t>My child’s happiness and wellbeing has improved.”</w:t>
      </w:r>
    </w:p>
    <w:p w14:paraId="4437AC5D" w14:textId="3C9EF35C" w:rsidR="00DB67FB" w:rsidRPr="006A2B4C" w:rsidRDefault="00DB67FB" w:rsidP="00F7682F">
      <w:pPr>
        <w:pStyle w:val="Heading3"/>
      </w:pPr>
      <w:bookmarkStart w:id="79" w:name="_Toc145935892"/>
      <w:bookmarkStart w:id="80" w:name="_Toc149817461"/>
      <w:r w:rsidRPr="003A110E">
        <w:t>Empowerment</w:t>
      </w:r>
      <w:bookmarkEnd w:id="79"/>
      <w:bookmarkEnd w:id="80"/>
      <w:r w:rsidRPr="006A2B4C">
        <w:t xml:space="preserve"> </w:t>
      </w:r>
    </w:p>
    <w:p w14:paraId="4BEF99FD" w14:textId="6790C1AB" w:rsidR="00460269" w:rsidRPr="00963AA1" w:rsidRDefault="00460269" w:rsidP="009E6CEB">
      <w:pPr>
        <w:pStyle w:val="BodyText"/>
      </w:pPr>
      <w:r w:rsidRPr="00963AA1">
        <w:t xml:space="preserve">Total empowerment is an indicator of parents’ overall feelings of efficacy as measured by the </w:t>
      </w:r>
      <w:r w:rsidR="006373B9" w:rsidRPr="006373B9">
        <w:t>Parent Empowerment and Efficacy Measure (PEEM)</w:t>
      </w:r>
      <w:r w:rsidRPr="00963AA1">
        <w:t xml:space="preserve">. Total empowerment increased from initial assessment (155.0, n = 57) to review (157.8, n = 81) and again at closure (167.0, n=21) for clients active in </w:t>
      </w:r>
      <w:r w:rsidR="007C608E" w:rsidRPr="007C608E">
        <w:t>Resilient Families (RF)</w:t>
      </w:r>
      <w:r w:rsidR="007C608E">
        <w:t xml:space="preserve"> </w:t>
      </w:r>
      <w:r w:rsidRPr="00963AA1">
        <w:t>in 2022</w:t>
      </w:r>
      <w:r w:rsidR="00C33E9D" w:rsidRPr="00963AA1">
        <w:t>—</w:t>
      </w:r>
      <w:r w:rsidRPr="00963AA1">
        <w:t>23. At all assessment stages, parental empowerment was higher than the population average (154)</w:t>
      </w:r>
      <w:r w:rsidR="00BD25FC" w:rsidRPr="00494786">
        <w:rPr>
          <w:rStyle w:val="StyleFootnoteReferenceDarkRed"/>
        </w:rPr>
        <w:footnoteReference w:id="10"/>
      </w:r>
      <w:r w:rsidRPr="00963AA1">
        <w:t xml:space="preserve"> and 67% of closure responses were at or above the population average. </w:t>
      </w:r>
    </w:p>
    <w:p w14:paraId="695414B8" w14:textId="2C14197D" w:rsidR="00DB67FB" w:rsidRPr="00963AA1" w:rsidRDefault="00460269" w:rsidP="009E6CEB">
      <w:pPr>
        <w:pStyle w:val="BodyText"/>
      </w:pPr>
      <w:r w:rsidRPr="00963AA1">
        <w:t xml:space="preserve">The PEEM can also be analysed by subscales: </w:t>
      </w:r>
      <w:r w:rsidRPr="00A036E6">
        <w:rPr>
          <w:i/>
          <w:iCs/>
        </w:rPr>
        <w:t xml:space="preserve">Efficacy to </w:t>
      </w:r>
      <w:r w:rsidR="00A036E6" w:rsidRPr="00A036E6">
        <w:rPr>
          <w:i/>
          <w:iCs/>
        </w:rPr>
        <w:t>p</w:t>
      </w:r>
      <w:r w:rsidRPr="00A036E6">
        <w:rPr>
          <w:i/>
          <w:iCs/>
        </w:rPr>
        <w:t>arent</w:t>
      </w:r>
      <w:r w:rsidRPr="00963AA1">
        <w:t xml:space="preserve">, which indicates parental confidence, and </w:t>
      </w:r>
      <w:r w:rsidRPr="00A036E6">
        <w:rPr>
          <w:i/>
          <w:iCs/>
        </w:rPr>
        <w:t xml:space="preserve">Efficacy to </w:t>
      </w:r>
      <w:r w:rsidR="00A036E6" w:rsidRPr="00A036E6">
        <w:rPr>
          <w:i/>
          <w:iCs/>
        </w:rPr>
        <w:t>c</w:t>
      </w:r>
      <w:r w:rsidRPr="00A036E6">
        <w:rPr>
          <w:i/>
          <w:iCs/>
        </w:rPr>
        <w:t>onnect</w:t>
      </w:r>
      <w:r w:rsidRPr="00963AA1">
        <w:t>, which is “the degree to which parents feel empowered to access support and to participate in social or other activities that promote positive parenting”.</w:t>
      </w:r>
      <w:r w:rsidR="005249FD" w:rsidRPr="00494786">
        <w:rPr>
          <w:rStyle w:val="StyleFootnoteReferenceDarkRed"/>
        </w:rPr>
        <w:footnoteReference w:id="11"/>
      </w:r>
      <w:r w:rsidRPr="00963AA1">
        <w:t xml:space="preserve"> At initial assessment, the former sat slightly below average, while the latter was slightly above average. At closure, both sub</w:t>
      </w:r>
      <w:r w:rsidR="006D1D4D">
        <w:t>-</w:t>
      </w:r>
      <w:r w:rsidRPr="00963AA1">
        <w:t>scales exceeded the population averages.</w:t>
      </w:r>
    </w:p>
    <w:p w14:paraId="6810712E" w14:textId="5B5C0926" w:rsidR="00F20903" w:rsidRPr="00963AA1" w:rsidRDefault="00F20903" w:rsidP="009E6CEB">
      <w:pPr>
        <w:pStyle w:val="BodyText"/>
      </w:pPr>
      <w:r w:rsidRPr="00963AA1">
        <w:lastRenderedPageBreak/>
        <w:t>These scores, when considered with the child</w:t>
      </w:r>
      <w:r w:rsidR="006D1D4D">
        <w:t>-</w:t>
      </w:r>
      <w:r w:rsidR="00295337" w:rsidRPr="00963AA1">
        <w:t>wellbeing</w:t>
      </w:r>
      <w:r w:rsidRPr="00963AA1">
        <w:t xml:space="preserve"> results above may suggest that parents within RF </w:t>
      </w:r>
      <w:r w:rsidR="001C0059" w:rsidRPr="00963AA1">
        <w:t xml:space="preserve">were able to identify and address </w:t>
      </w:r>
      <w:r w:rsidR="00295337" w:rsidRPr="00963AA1">
        <w:t>behaviours relating to a child’s socio</w:t>
      </w:r>
      <w:r w:rsidR="006D1D4D">
        <w:t>-</w:t>
      </w:r>
      <w:r w:rsidR="00295337" w:rsidRPr="00963AA1">
        <w:t>emotional wellbeing</w:t>
      </w:r>
      <w:r w:rsidR="00E6771F" w:rsidRPr="00963AA1">
        <w:t>.</w:t>
      </w:r>
    </w:p>
    <w:p w14:paraId="2526741E" w14:textId="1766305D" w:rsidR="00E630CA" w:rsidRPr="00963AA1" w:rsidRDefault="00E630CA" w:rsidP="009E6CEB">
      <w:pPr>
        <w:pStyle w:val="BodyText"/>
      </w:pPr>
      <w:r w:rsidRPr="00963AA1">
        <w:t>Practitioners may use the sub</w:t>
      </w:r>
      <w:r w:rsidR="006D1D4D">
        <w:t>-</w:t>
      </w:r>
      <w:r w:rsidRPr="00963AA1">
        <w:t>scales to tailor support</w:t>
      </w:r>
      <w:r w:rsidR="00E01D8D" w:rsidRPr="00963AA1">
        <w:t xml:space="preserve"> and focus on the specific needs of each family</w:t>
      </w:r>
      <w:r w:rsidRPr="00963AA1">
        <w:t xml:space="preserve">, with the aim of seeing an improved score across the assessment period. </w:t>
      </w:r>
    </w:p>
    <w:p w14:paraId="2D8678B1" w14:textId="20A9A977" w:rsidR="006E3D10" w:rsidRPr="00963AA1" w:rsidRDefault="00E630CA" w:rsidP="009E6CEB">
      <w:pPr>
        <w:pStyle w:val="BodyText"/>
      </w:pPr>
      <w:r w:rsidRPr="00963AA1">
        <w:t>Reflections from families indicate that RF has improved their confidence and ability to connect, particularly to other support for their children: “</w:t>
      </w:r>
      <w:r w:rsidRPr="00EC72BC">
        <w:t>It has got better. I feel it is a bit easier to talk to the teachers at school since you guys have been involved. I can talk about the kids’ problems easier with school and doctor.</w:t>
      </w:r>
      <w:r w:rsidRPr="00963AA1">
        <w:t>”</w:t>
      </w:r>
    </w:p>
    <w:p w14:paraId="2F99A237" w14:textId="12FB19CE" w:rsidR="00DB67FB" w:rsidRPr="006A2B4C" w:rsidRDefault="00DB67FB" w:rsidP="00F7682F">
      <w:pPr>
        <w:pStyle w:val="Heading3"/>
      </w:pPr>
      <w:bookmarkStart w:id="81" w:name="_Toc145935893"/>
      <w:bookmarkStart w:id="82" w:name="_Toc149817462"/>
      <w:r w:rsidRPr="003A110E">
        <w:t>Mental</w:t>
      </w:r>
      <w:r w:rsidRPr="006A2B4C">
        <w:t xml:space="preserve"> health</w:t>
      </w:r>
      <w:bookmarkEnd w:id="81"/>
      <w:bookmarkEnd w:id="82"/>
      <w:r w:rsidRPr="006A2B4C">
        <w:t xml:space="preserve"> </w:t>
      </w:r>
    </w:p>
    <w:p w14:paraId="21C63239" w14:textId="3C1A36DE" w:rsidR="00524C0D" w:rsidRPr="00963AA1" w:rsidRDefault="00524C0D" w:rsidP="009E6CEB">
      <w:pPr>
        <w:pStyle w:val="BodyText"/>
      </w:pPr>
      <w:r w:rsidRPr="00963AA1">
        <w:t xml:space="preserve">Mental health, measured by the </w:t>
      </w:r>
      <w:r w:rsidR="00FD2260" w:rsidRPr="00FD2260">
        <w:t>Kessler Psychological Distress Scale (K10</w:t>
      </w:r>
      <w:r w:rsidR="00931A64">
        <w:t xml:space="preserve"> and</w:t>
      </w:r>
      <w:r w:rsidR="00FD2260" w:rsidRPr="00FD2260">
        <w:t xml:space="preserve"> K5)</w:t>
      </w:r>
      <w:r w:rsidRPr="00963AA1">
        <w:t>, varied between non</w:t>
      </w:r>
      <w:r w:rsidR="006D1D4D">
        <w:t>-</w:t>
      </w:r>
      <w:r w:rsidRPr="00963AA1">
        <w:t>Aboriginal and Aboriginal parents. For non</w:t>
      </w:r>
      <w:r w:rsidR="006D1D4D">
        <w:t>-</w:t>
      </w:r>
      <w:r w:rsidRPr="00963AA1">
        <w:t>Aboriginal parents, psychological distress (measured by the K10), decreased from an average of 21.9 (n</w:t>
      </w:r>
      <w:r w:rsidR="000B5793">
        <w:t> </w:t>
      </w:r>
      <w:r w:rsidRPr="00963AA1">
        <w:t>=</w:t>
      </w:r>
      <w:r w:rsidR="000B5793">
        <w:t> </w:t>
      </w:r>
      <w:r w:rsidRPr="00963AA1">
        <w:t>45) at initial assessment to 20.5 (n = 59) at review and again to 18.1 (n=18) at closure. This indicates moderate levels of psychological distress at closure, and a reduction in psychological distress over the assessment period. It remains above the Australian population average of 15,</w:t>
      </w:r>
      <w:r w:rsidR="00C34171" w:rsidRPr="00494786">
        <w:rPr>
          <w:rStyle w:val="StyleFootnoteReferenceDarkRed"/>
        </w:rPr>
        <w:footnoteReference w:id="12"/>
      </w:r>
      <w:r w:rsidRPr="00963AA1">
        <w:t xml:space="preserve"> though 50% of closure responses recorded low levels of psychological distress</w:t>
      </w:r>
      <w:r w:rsidR="001C67FD">
        <w:t xml:space="preserve"> </w:t>
      </w:r>
      <w:r w:rsidRPr="00963AA1">
        <w:t>at closure.</w:t>
      </w:r>
      <w:r w:rsidR="00043453" w:rsidRPr="00963AA1">
        <w:t xml:space="preserve"> </w:t>
      </w:r>
    </w:p>
    <w:p w14:paraId="4B8185C7" w14:textId="77777777" w:rsidR="00524C0D" w:rsidRPr="00963AA1" w:rsidRDefault="00524C0D" w:rsidP="009E6CEB">
      <w:pPr>
        <w:pStyle w:val="BodyText"/>
      </w:pPr>
      <w:r w:rsidRPr="00963AA1">
        <w:t xml:space="preserve">For Aboriginal parents, psychological distress (measured by the K5) increased from initial assessment, 10.3 (n = 16) to review, 11.1 (n = 24). At closure, scores decreased to 9.7 (n=3), noting the small response number. Scores up to 12 indicate low/moderate levels of psychological distress. </w:t>
      </w:r>
    </w:p>
    <w:p w14:paraId="42F611AA" w14:textId="7CC49069" w:rsidR="00524C0D" w:rsidRPr="00963AA1" w:rsidRDefault="00524C0D" w:rsidP="009E6CEB">
      <w:pPr>
        <w:pStyle w:val="BodyText"/>
      </w:pPr>
      <w:r w:rsidRPr="00963AA1">
        <w:t xml:space="preserve">Mental health concerns are common risk factors amongst families in </w:t>
      </w:r>
      <w:r w:rsidR="0001085D" w:rsidRPr="0001085D">
        <w:t>Resilient Families (RF)</w:t>
      </w:r>
      <w:r w:rsidR="0001085D">
        <w:t xml:space="preserve"> </w:t>
      </w:r>
      <w:r w:rsidR="00313458" w:rsidRPr="00963AA1">
        <w:t>and</w:t>
      </w:r>
      <w:r w:rsidRPr="00963AA1">
        <w:t xml:space="preserve"> co</w:t>
      </w:r>
      <w:r w:rsidR="006D1D4D">
        <w:t>-</w:t>
      </w:r>
      <w:r w:rsidRPr="00963AA1">
        <w:t>exist with other risk factors such as domestic and family violence and and/or alcohol and other drugs concerns. These findings support the view that mental health concerns are prevalent across all of the RF adult cohort, though there is evidence</w:t>
      </w:r>
      <w:r w:rsidR="006B6E6F" w:rsidRPr="00963AA1">
        <w:t xml:space="preserve"> </w:t>
      </w:r>
      <w:r w:rsidRPr="00963AA1">
        <w:t xml:space="preserve">of improvement across the assessment period. Families have reported through data collection measures that: </w:t>
      </w:r>
    </w:p>
    <w:p w14:paraId="75106F96" w14:textId="7E34205F" w:rsidR="00524C0D" w:rsidRPr="00963AA1" w:rsidRDefault="00524C0D" w:rsidP="009E6CEB">
      <w:pPr>
        <w:pStyle w:val="BodyText"/>
      </w:pPr>
      <w:r w:rsidRPr="00963AA1">
        <w:t>“The biggest change in my family is mental health, proper diagnosis and [being] put</w:t>
      </w:r>
      <w:r w:rsidR="00C34171" w:rsidRPr="00963AA1">
        <w:br/>
      </w:r>
      <w:r w:rsidRPr="00963AA1">
        <w:t xml:space="preserve">on medication.” </w:t>
      </w:r>
    </w:p>
    <w:p w14:paraId="6640753B" w14:textId="5F01E050" w:rsidR="006E3D10" w:rsidRPr="00963AA1" w:rsidRDefault="00524C0D" w:rsidP="00B338C2">
      <w:pPr>
        <w:pStyle w:val="BodyText"/>
      </w:pPr>
      <w:r w:rsidRPr="00963AA1">
        <w:t>“</w:t>
      </w:r>
      <w:r w:rsidRPr="00EC72BC">
        <w:t>Biggest change has been my mental health, I have increased my coping skills.</w:t>
      </w:r>
      <w:r w:rsidRPr="00963AA1">
        <w:t>”</w:t>
      </w:r>
      <w:r w:rsidR="67EF77D5" w:rsidRPr="00963AA1">
        <w:t xml:space="preserve"> </w:t>
      </w:r>
    </w:p>
    <w:p w14:paraId="40B4E831" w14:textId="693684AE" w:rsidR="667AE130" w:rsidRPr="006A2B4C" w:rsidRDefault="3B169D65" w:rsidP="00F7682F">
      <w:pPr>
        <w:pStyle w:val="Heading3"/>
      </w:pPr>
      <w:bookmarkStart w:id="83" w:name="_Toc107931731"/>
      <w:bookmarkStart w:id="84" w:name="_Toc145935894"/>
      <w:bookmarkStart w:id="85" w:name="_Toc149817463"/>
      <w:r w:rsidRPr="006A2B4C">
        <w:lastRenderedPageBreak/>
        <w:t xml:space="preserve">Case </w:t>
      </w:r>
      <w:r w:rsidR="007761B8">
        <w:t>s</w:t>
      </w:r>
      <w:r w:rsidRPr="006A2B4C">
        <w:t>tudy</w:t>
      </w:r>
      <w:bookmarkEnd w:id="83"/>
      <w:bookmarkEnd w:id="84"/>
      <w:bookmarkEnd w:id="85"/>
      <w:r w:rsidR="643B1FEE" w:rsidRPr="006A2B4C">
        <w:t xml:space="preserve"> </w:t>
      </w:r>
    </w:p>
    <w:p w14:paraId="14E75A39" w14:textId="09283E66" w:rsidR="002253E7" w:rsidRPr="00B556AB" w:rsidRDefault="4410CFAC" w:rsidP="00077142">
      <w:pPr>
        <w:pStyle w:val="BodyText"/>
        <w:keepLines w:val="0"/>
      </w:pPr>
      <w:r w:rsidRPr="00963AA1">
        <w:t xml:space="preserve">The Benevolent Society received a referral from </w:t>
      </w:r>
      <w:r w:rsidR="00D013C8" w:rsidRPr="00D013C8">
        <w:t>Department for Child Protection (DCP)</w:t>
      </w:r>
      <w:r w:rsidR="00D013C8">
        <w:t xml:space="preserve"> </w:t>
      </w:r>
      <w:r w:rsidRPr="00963AA1">
        <w:t xml:space="preserve">for a family of </w:t>
      </w:r>
      <w:r w:rsidR="006E1C07" w:rsidRPr="00963AA1">
        <w:t>five</w:t>
      </w:r>
      <w:r w:rsidR="002253E7" w:rsidRPr="00963AA1">
        <w:t>:</w:t>
      </w:r>
      <w:r w:rsidR="006E1C07" w:rsidRPr="00963AA1">
        <w:t xml:space="preserve"> </w:t>
      </w:r>
      <w:r w:rsidR="116B73FC" w:rsidRPr="00963AA1">
        <w:t>t</w:t>
      </w:r>
      <w:r w:rsidRPr="00963AA1">
        <w:t>wo adults and three school</w:t>
      </w:r>
      <w:r w:rsidR="00D013C8">
        <w:t>-</w:t>
      </w:r>
      <w:r w:rsidRPr="00963AA1">
        <w:t xml:space="preserve">aged children. The referral </w:t>
      </w:r>
      <w:r w:rsidR="56D4C156" w:rsidRPr="00963AA1">
        <w:t>concerns</w:t>
      </w:r>
      <w:r w:rsidRPr="00963AA1">
        <w:t xml:space="preserve"> were adult mental health, possible undiagnosed </w:t>
      </w:r>
      <w:r w:rsidR="4425304C" w:rsidRPr="00963AA1">
        <w:t xml:space="preserve">disability for one </w:t>
      </w:r>
      <w:r w:rsidRPr="00963AA1">
        <w:t>parent</w:t>
      </w:r>
      <w:r w:rsidR="437A1941" w:rsidRPr="00963AA1">
        <w:t xml:space="preserve"> affecting parenting capacity, domestic violence, </w:t>
      </w:r>
      <w:r w:rsidR="440B8DF4" w:rsidRPr="00963AA1">
        <w:t>children's</w:t>
      </w:r>
      <w:r w:rsidR="437A1941" w:rsidRPr="00963AA1">
        <w:t xml:space="preserve"> health not being attended to and </w:t>
      </w:r>
      <w:r w:rsidR="437A1941" w:rsidRPr="00B556AB">
        <w:t>possible global delay and other disabilities for the children</w:t>
      </w:r>
      <w:r w:rsidR="796F6B27" w:rsidRPr="00B556AB">
        <w:t>, squalor and possible eviction.</w:t>
      </w:r>
      <w:r w:rsidR="55877F8D" w:rsidRPr="00B556AB">
        <w:t xml:space="preserve"> </w:t>
      </w:r>
    </w:p>
    <w:p w14:paraId="5B56BFD4" w14:textId="64C4BF3D" w:rsidR="4410CFAC" w:rsidRPr="00963AA1" w:rsidRDefault="55877F8D" w:rsidP="00077142">
      <w:pPr>
        <w:pStyle w:val="BodyText"/>
        <w:keepLines w:val="0"/>
      </w:pPr>
      <w:r w:rsidRPr="00AE4BB2">
        <w:t xml:space="preserve">During the engagement with </w:t>
      </w:r>
      <w:r w:rsidR="00D013C8" w:rsidRPr="00AE4BB2">
        <w:t>Resilient Families,</w:t>
      </w:r>
      <w:r w:rsidRPr="00AE4BB2">
        <w:t xml:space="preserve"> many notifications were made to DCP regarding the children's situation. </w:t>
      </w:r>
      <w:r w:rsidR="00BB3A41" w:rsidRPr="00AE4BB2">
        <w:t xml:space="preserve">The Benevolent Society </w:t>
      </w:r>
      <w:r w:rsidRPr="00AE4BB2">
        <w:t>collaborated with DCP and</w:t>
      </w:r>
      <w:r w:rsidRPr="00963AA1">
        <w:t xml:space="preserve"> accepted the </w:t>
      </w:r>
      <w:bookmarkStart w:id="86" w:name="_Hlk153360466"/>
      <w:r w:rsidR="00A333A4">
        <w:t>Refer State Authority</w:t>
      </w:r>
      <w:bookmarkEnd w:id="86"/>
      <w:r w:rsidR="00A333A4">
        <w:t xml:space="preserve"> (</w:t>
      </w:r>
      <w:r w:rsidRPr="00963AA1">
        <w:t>RSA</w:t>
      </w:r>
      <w:r w:rsidR="00A333A4">
        <w:t>)</w:t>
      </w:r>
      <w:r w:rsidRPr="00963AA1">
        <w:t xml:space="preserve"> and worked closely with the family to address the concerns.</w:t>
      </w:r>
    </w:p>
    <w:p w14:paraId="0BF66967" w14:textId="51BC4E71" w:rsidR="00077142" w:rsidRDefault="000E4F0A" w:rsidP="00077142">
      <w:pPr>
        <w:keepLines w:val="0"/>
      </w:pPr>
      <w:r w:rsidRPr="00963AA1">
        <w:t>The Benevolent Society</w:t>
      </w:r>
      <w:r w:rsidR="00FF3C82">
        <w:t xml:space="preserve"> (TBS)</w:t>
      </w:r>
      <w:r w:rsidRPr="00963AA1">
        <w:t xml:space="preserve"> </w:t>
      </w:r>
      <w:r w:rsidR="796F6B27" w:rsidRPr="00963AA1">
        <w:t xml:space="preserve">has worked with this family for 12 months and during that period the family increased their safety by improving the condition of the home to be safe for the </w:t>
      </w:r>
      <w:r w:rsidR="006E1C07" w:rsidRPr="00963AA1">
        <w:t>children and</w:t>
      </w:r>
      <w:r w:rsidR="796F6B27" w:rsidRPr="00963AA1">
        <w:t xml:space="preserve"> </w:t>
      </w:r>
      <w:r w:rsidR="4D859D1F" w:rsidRPr="00963AA1">
        <w:t>maintained</w:t>
      </w:r>
      <w:r w:rsidR="796F6B27" w:rsidRPr="00963AA1">
        <w:t xml:space="preserve"> </w:t>
      </w:r>
      <w:r w:rsidR="7309E154" w:rsidRPr="00963AA1">
        <w:t>their</w:t>
      </w:r>
      <w:r w:rsidR="796F6B27" w:rsidRPr="00963AA1">
        <w:t xml:space="preserve"> tenancy with a housing provider.</w:t>
      </w:r>
      <w:r w:rsidR="550AD62C" w:rsidRPr="00963AA1">
        <w:t xml:space="preserve"> The </w:t>
      </w:r>
      <w:r w:rsidR="3FB9F8F8" w:rsidRPr="00963AA1">
        <w:t>family</w:t>
      </w:r>
      <w:r w:rsidR="550AD62C" w:rsidRPr="00963AA1">
        <w:t xml:space="preserve"> has also had several assessments for </w:t>
      </w:r>
      <w:r w:rsidR="000A37CA" w:rsidRPr="000A37CA">
        <w:t xml:space="preserve">Attention </w:t>
      </w:r>
      <w:r w:rsidR="000A37CA">
        <w:t>D</w:t>
      </w:r>
      <w:r w:rsidR="000A37CA" w:rsidRPr="000A37CA">
        <w:t xml:space="preserve">eficit </w:t>
      </w:r>
      <w:r w:rsidR="000A37CA">
        <w:t>H</w:t>
      </w:r>
      <w:r w:rsidR="000A37CA" w:rsidRPr="000A37CA">
        <w:t xml:space="preserve">yperactivity </w:t>
      </w:r>
      <w:r w:rsidR="000A37CA">
        <w:t>D</w:t>
      </w:r>
      <w:r w:rsidR="000A37CA" w:rsidRPr="000A37CA">
        <w:t>isorder</w:t>
      </w:r>
      <w:r w:rsidR="550AD62C" w:rsidRPr="00963AA1">
        <w:t xml:space="preserve">, global delay, </w:t>
      </w:r>
      <w:r w:rsidR="000A37CA" w:rsidRPr="00367651">
        <w:t xml:space="preserve">Attention </w:t>
      </w:r>
      <w:r w:rsidR="000A37CA">
        <w:t>D</w:t>
      </w:r>
      <w:r w:rsidR="000A37CA" w:rsidRPr="00367651">
        <w:t xml:space="preserve">eficit </w:t>
      </w:r>
      <w:r w:rsidR="000A37CA">
        <w:t>D</w:t>
      </w:r>
      <w:r w:rsidR="000A37CA" w:rsidRPr="00367651">
        <w:t>isorder</w:t>
      </w:r>
      <w:r w:rsidR="000A37CA">
        <w:t xml:space="preserve"> </w:t>
      </w:r>
      <w:r w:rsidR="550AD62C" w:rsidRPr="00963AA1">
        <w:t>and have been able to access NDIS</w:t>
      </w:r>
      <w:r w:rsidR="00077142">
        <w:t>-</w:t>
      </w:r>
      <w:r w:rsidR="550AD62C" w:rsidRPr="00963AA1">
        <w:t>funded supports.</w:t>
      </w:r>
    </w:p>
    <w:p w14:paraId="7E583A2A" w14:textId="325DF6FE" w:rsidR="796F6B27" w:rsidRPr="00963AA1" w:rsidRDefault="00077142" w:rsidP="00077142">
      <w:pPr>
        <w:keepLines w:val="0"/>
      </w:pPr>
      <w:r w:rsidRPr="00077142">
        <w:t>Resilient Families</w:t>
      </w:r>
      <w:r>
        <w:t xml:space="preserve"> </w:t>
      </w:r>
      <w:r w:rsidR="550AD62C" w:rsidRPr="00963AA1">
        <w:t xml:space="preserve">has worked with its </w:t>
      </w:r>
      <w:r w:rsidR="002253E7" w:rsidRPr="00963AA1">
        <w:t>d</w:t>
      </w:r>
      <w:r w:rsidR="550AD62C" w:rsidRPr="00963AA1">
        <w:t>isability team for a seamless service an</w:t>
      </w:r>
      <w:r w:rsidR="6067865F" w:rsidRPr="00963AA1">
        <w:t xml:space="preserve">d warm referral. This has enabled services to be delivered in the home, where they were not available previously due to condition of the home and fear from the parents. </w:t>
      </w:r>
      <w:r w:rsidR="662F8A80" w:rsidRPr="00963AA1">
        <w:t xml:space="preserve">The coordination of </w:t>
      </w:r>
      <w:r w:rsidR="001040B4">
        <w:t>National Disability Insurance Scheme (NDIS)</w:t>
      </w:r>
      <w:r w:rsidR="662F8A80" w:rsidRPr="00963AA1">
        <w:t xml:space="preserve"> services f</w:t>
      </w:r>
      <w:r w:rsidR="00FF3C82">
        <w:t>ro</w:t>
      </w:r>
      <w:r w:rsidR="662F8A80" w:rsidRPr="00963AA1">
        <w:t xml:space="preserve">m a TBS </w:t>
      </w:r>
      <w:r w:rsidR="0F89092C" w:rsidRPr="00963AA1">
        <w:t>colleague</w:t>
      </w:r>
      <w:r w:rsidR="662F8A80" w:rsidRPr="00963AA1">
        <w:t xml:space="preserve"> has assisted in maintaining safety and increasing parental capacity</w:t>
      </w:r>
      <w:r w:rsidR="30369693" w:rsidRPr="00963AA1">
        <w:t xml:space="preserve">. </w:t>
      </w:r>
      <w:r w:rsidR="16E29A5C" w:rsidRPr="00963AA1">
        <w:t>T</w:t>
      </w:r>
      <w:r w:rsidR="30369693" w:rsidRPr="00963AA1">
        <w:t xml:space="preserve">he </w:t>
      </w:r>
      <w:r w:rsidR="5CC63563" w:rsidRPr="00963AA1">
        <w:t>children</w:t>
      </w:r>
      <w:r w:rsidR="30369693" w:rsidRPr="00963AA1">
        <w:t xml:space="preserve"> are all up to date with any medical checks and dental checks, attend school on a regular basis and engage well with the education system.</w:t>
      </w:r>
      <w:r w:rsidR="111367B0" w:rsidRPr="00963AA1">
        <w:t xml:space="preserve"> Resilient Families has worked with the parents to develop a safety plan and support the relationship by addressing the violence with the perpetrator and working within the family to create a change in the power dynamics of the relationship.</w:t>
      </w:r>
    </w:p>
    <w:p w14:paraId="0FF2E10C" w14:textId="17C0E6B2" w:rsidR="667AE130" w:rsidRPr="00963AA1" w:rsidRDefault="111367B0" w:rsidP="00077142">
      <w:pPr>
        <w:pStyle w:val="BodyText"/>
        <w:keepLines w:val="0"/>
      </w:pPr>
      <w:r w:rsidRPr="00963AA1">
        <w:t>The family have become more connected to their community with children attending school, one child playing sport and the mother connecting through a community group, whilst the father is seeking employment.</w:t>
      </w:r>
    </w:p>
    <w:p w14:paraId="46645A12" w14:textId="0D590096" w:rsidR="003B3560" w:rsidRPr="006A2B4C" w:rsidRDefault="00791DF2" w:rsidP="00FE1F98">
      <w:pPr>
        <w:pStyle w:val="Heading3"/>
      </w:pPr>
      <w:bookmarkStart w:id="87" w:name="_Toc145935895"/>
      <w:bookmarkStart w:id="88" w:name="_Toc149817464"/>
      <w:r w:rsidRPr="006A2B4C">
        <w:lastRenderedPageBreak/>
        <w:t>Shared service goals</w:t>
      </w:r>
      <w:bookmarkEnd w:id="87"/>
      <w:bookmarkEnd w:id="88"/>
    </w:p>
    <w:p w14:paraId="41F94790" w14:textId="0AC8B5BC" w:rsidR="003B3560" w:rsidRPr="00963AA1" w:rsidRDefault="00267A1F" w:rsidP="009E6CEB">
      <w:pPr>
        <w:pStyle w:val="BodyText"/>
      </w:pPr>
      <w:r w:rsidRPr="00963AA1">
        <w:t xml:space="preserve">During the reporting period, TBS has worked with </w:t>
      </w:r>
      <w:r w:rsidR="0051501C" w:rsidRPr="00963AA1">
        <w:t xml:space="preserve">a </w:t>
      </w:r>
      <w:r w:rsidR="006E1C07" w:rsidRPr="00963AA1">
        <w:t>PhD</w:t>
      </w:r>
      <w:r w:rsidR="0051501C" w:rsidRPr="00963AA1">
        <w:t xml:space="preserve"> student at the University of South Australia to </w:t>
      </w:r>
      <w:r w:rsidR="003D40FE" w:rsidRPr="00963AA1">
        <w:t>explore parent/caregiver goals of work with family support services and interprofessional practices to support identification and achievement of these goals</w:t>
      </w:r>
      <w:r w:rsidR="005547D4" w:rsidRPr="00963AA1">
        <w:t xml:space="preserve">. </w:t>
      </w:r>
      <w:r w:rsidR="00E975DA" w:rsidRPr="00963AA1">
        <w:t>This research will provide new insights into shared service goals as an enabler of interprofessional collaboration, including what these shared goals may be, and their role in supporting interprofessional collaboration</w:t>
      </w:r>
      <w:r w:rsidR="0072749F" w:rsidRPr="00963AA1">
        <w:t>.</w:t>
      </w:r>
      <w:r w:rsidR="00065F54" w:rsidRPr="00963AA1">
        <w:t xml:space="preserve"> It is anticipated </w:t>
      </w:r>
      <w:r w:rsidR="00364427" w:rsidRPr="00963AA1">
        <w:t xml:space="preserve">the </w:t>
      </w:r>
      <w:r w:rsidR="007D451F" w:rsidRPr="00963AA1">
        <w:t xml:space="preserve">publication of this research will be available for </w:t>
      </w:r>
      <w:r w:rsidR="00D327DB" w:rsidRPr="00963AA1">
        <w:t xml:space="preserve">inclusion in the next </w:t>
      </w:r>
      <w:r w:rsidR="004D4342" w:rsidRPr="00963AA1">
        <w:t>a</w:t>
      </w:r>
      <w:r w:rsidR="00D327DB" w:rsidRPr="00963AA1">
        <w:t xml:space="preserve">nnual </w:t>
      </w:r>
      <w:r w:rsidR="004D4342" w:rsidRPr="00963AA1">
        <w:t>r</w:t>
      </w:r>
      <w:r w:rsidR="00D327DB" w:rsidRPr="00963AA1">
        <w:t>eport.</w:t>
      </w:r>
    </w:p>
    <w:p w14:paraId="1356A4DE" w14:textId="77777777" w:rsidR="006A3D11" w:rsidRPr="00EC72BC" w:rsidRDefault="006A3D11">
      <w:pPr>
        <w:keepLines w:val="0"/>
        <w:spacing w:line="240" w:lineRule="auto"/>
      </w:pPr>
      <w:bookmarkStart w:id="89" w:name="_Toc145935896"/>
      <w:r>
        <w:br w:type="page"/>
      </w:r>
    </w:p>
    <w:p w14:paraId="718EABCB" w14:textId="07C7B425" w:rsidR="004C3950" w:rsidRPr="006A2B4C" w:rsidRDefault="00A7402D" w:rsidP="00FE1F98">
      <w:pPr>
        <w:pStyle w:val="Heading2"/>
      </w:pPr>
      <w:bookmarkStart w:id="90" w:name="_Toc149817465"/>
      <w:r w:rsidRPr="00A162DD">
        <w:lastRenderedPageBreak/>
        <w:t>Conclusion</w:t>
      </w:r>
      <w:bookmarkEnd w:id="89"/>
      <w:bookmarkEnd w:id="90"/>
    </w:p>
    <w:p w14:paraId="5D6F0F14" w14:textId="253C8008" w:rsidR="00C45C33" w:rsidRPr="00C45C33" w:rsidRDefault="00450068" w:rsidP="00C45C33">
      <w:pPr>
        <w:pStyle w:val="BodyText"/>
      </w:pPr>
      <w:r w:rsidRPr="00C45C33">
        <w:t xml:space="preserve">Families within the </w:t>
      </w:r>
      <w:r w:rsidR="00040D63" w:rsidRPr="00C45C33">
        <w:t>Child and Family Support System</w:t>
      </w:r>
      <w:r w:rsidRPr="00C45C33">
        <w:t xml:space="preserve">, including participants of </w:t>
      </w:r>
      <w:r w:rsidR="00C45C33" w:rsidRPr="00C45C33">
        <w:t>Resilient Families</w:t>
      </w:r>
      <w:r w:rsidRPr="00C45C33">
        <w:t xml:space="preserve">, face many complexities, which cannot be addressed through family preservation services only. </w:t>
      </w:r>
      <w:r w:rsidR="00BC352B" w:rsidRPr="00C45C33">
        <w:t xml:space="preserve">The Resilient Families Joint Working Group includes members of the South Australian Department of Treasury and Commonwealth Department of Social Services, who </w:t>
      </w:r>
      <w:r w:rsidR="00E56AB7" w:rsidRPr="00C45C33">
        <w:t xml:space="preserve">provide a connection to other </w:t>
      </w:r>
      <w:r w:rsidR="0037793C">
        <w:t>C</w:t>
      </w:r>
      <w:r w:rsidR="00E56AB7" w:rsidRPr="00C45C33">
        <w:t xml:space="preserve">ommonwealth and </w:t>
      </w:r>
      <w:r w:rsidR="0037793C">
        <w:t>S</w:t>
      </w:r>
      <w:r w:rsidR="00E56AB7" w:rsidRPr="00C45C33">
        <w:t xml:space="preserve">tate services. </w:t>
      </w:r>
    </w:p>
    <w:p w14:paraId="61AAA33C" w14:textId="53938A8C" w:rsidR="003B3560" w:rsidRPr="00C45C33" w:rsidRDefault="00E56AB7" w:rsidP="00C45C33">
      <w:pPr>
        <w:pStyle w:val="BodyText"/>
      </w:pPr>
      <w:r w:rsidRPr="00C45C33">
        <w:t>Through shared data opportunities</w:t>
      </w:r>
      <w:r w:rsidR="0037793C">
        <w:t>,</w:t>
      </w:r>
      <w:r w:rsidRPr="00C45C33">
        <w:t xml:space="preserve"> </w:t>
      </w:r>
      <w:r w:rsidR="0037793C" w:rsidRPr="0037793C">
        <w:t>Resilient Families</w:t>
      </w:r>
      <w:r w:rsidR="0037793C">
        <w:t xml:space="preserve"> </w:t>
      </w:r>
      <w:r w:rsidR="005D1D2D" w:rsidRPr="00C45C33">
        <w:t xml:space="preserve">contributes to the understanding of how families interact with services, which can be </w:t>
      </w:r>
      <w:r w:rsidR="00BC352B" w:rsidRPr="00C45C33">
        <w:t>used to inform future decision</w:t>
      </w:r>
      <w:r w:rsidR="006D1D4D" w:rsidRPr="00C45C33">
        <w:t>-</w:t>
      </w:r>
      <w:r w:rsidR="00BC352B" w:rsidRPr="00C45C33">
        <w:t>making about services, or how agencies can work together to achieve better outcomes for families.</w:t>
      </w:r>
      <w:r w:rsidR="00B7268B" w:rsidRPr="00C45C33">
        <w:t xml:space="preserve"> This includes child protection outcomes, </w:t>
      </w:r>
      <w:r w:rsidR="0037793C">
        <w:t>t</w:t>
      </w:r>
      <w:r w:rsidR="00B7268B" w:rsidRPr="00C45C33">
        <w:t>he Australian Early Development Census</w:t>
      </w:r>
      <w:r w:rsidR="00D40AB5">
        <w:t xml:space="preserve"> (AEDC)</w:t>
      </w:r>
      <w:r w:rsidR="00B7268B" w:rsidRPr="00C45C33">
        <w:t>, hospital emergency department presentations and i</w:t>
      </w:r>
      <w:r w:rsidR="00894311">
        <w:t>n</w:t>
      </w:r>
      <w:r w:rsidR="00B7268B" w:rsidRPr="00C45C33">
        <w:t>patient admissions and Commonwealth welfare consumption.</w:t>
      </w:r>
      <w:r w:rsidR="00FA2B5A" w:rsidRPr="00C45C33">
        <w:t xml:space="preserve"> </w:t>
      </w:r>
      <w:r w:rsidR="00CA1F30" w:rsidRPr="00C45C33">
        <w:t xml:space="preserve">Continuing to design and implement improvements to the </w:t>
      </w:r>
      <w:r w:rsidR="00622AE2" w:rsidRPr="00C45C33">
        <w:t>outcomes for children, young people and families must be evidence</w:t>
      </w:r>
      <w:r w:rsidR="006D1D4D" w:rsidRPr="00C45C33">
        <w:t>-</w:t>
      </w:r>
      <w:r w:rsidR="00622AE2" w:rsidRPr="00C45C33">
        <w:t>informed so that services</w:t>
      </w:r>
      <w:r w:rsidR="001F143B" w:rsidRPr="00C45C33">
        <w:t xml:space="preserve"> deliver the most appropriate support to those who need it.</w:t>
      </w:r>
      <w:r w:rsidR="00531925" w:rsidRPr="00C45C33">
        <w:t xml:space="preserve"> </w:t>
      </w:r>
      <w:r w:rsidR="00CC13B0" w:rsidRPr="00C45C33">
        <w:t>The Government of South Australia</w:t>
      </w:r>
      <w:r w:rsidR="00315B1F" w:rsidRPr="00C45C33">
        <w:t xml:space="preserve"> continues to also explore opportunities to use shared data to better understand the longer</w:t>
      </w:r>
      <w:r w:rsidR="006D1D4D" w:rsidRPr="00C45C33">
        <w:t>-</w:t>
      </w:r>
      <w:r w:rsidR="00315B1F" w:rsidRPr="00C45C33">
        <w:t xml:space="preserve">term outcomes for the families within </w:t>
      </w:r>
      <w:r w:rsidR="00894311" w:rsidRPr="00C45C33">
        <w:t xml:space="preserve">social impact investment </w:t>
      </w:r>
      <w:r w:rsidR="00315B1F" w:rsidRPr="00C45C33">
        <w:t xml:space="preserve">programs. </w:t>
      </w:r>
    </w:p>
    <w:p w14:paraId="6F98CA07" w14:textId="3522BBFC" w:rsidR="00185900" w:rsidRPr="00C45C33" w:rsidRDefault="008E3322" w:rsidP="00C45C33">
      <w:pPr>
        <w:pStyle w:val="BodyText"/>
      </w:pPr>
      <w:r w:rsidRPr="00C45C33">
        <w:t xml:space="preserve">A further </w:t>
      </w:r>
      <w:r w:rsidR="0057106A" w:rsidRPr="00C45C33">
        <w:t xml:space="preserve">235 families are </w:t>
      </w:r>
      <w:r w:rsidR="002A478B" w:rsidRPr="00C45C33">
        <w:t xml:space="preserve">hoped to be engaged with </w:t>
      </w:r>
      <w:r w:rsidR="000B70D6" w:rsidRPr="000B70D6">
        <w:t xml:space="preserve">Resilient Families </w:t>
      </w:r>
      <w:r w:rsidR="002A478B" w:rsidRPr="00C45C33">
        <w:t xml:space="preserve">over the coming </w:t>
      </w:r>
      <w:r w:rsidR="00FB59D4" w:rsidRPr="00C45C33">
        <w:t>3.5 years</w:t>
      </w:r>
      <w:r w:rsidR="00ED3B56" w:rsidRPr="00C45C33">
        <w:t xml:space="preserve">, with the </w:t>
      </w:r>
      <w:r w:rsidR="004000E2" w:rsidRPr="00C45C33">
        <w:t xml:space="preserve">learnings of the program </w:t>
      </w:r>
      <w:r w:rsidR="00385F5A" w:rsidRPr="00C45C33">
        <w:t xml:space="preserve">able to continue to evolve the program and hopefully continue the positive outcomes that have been achieved so far. </w:t>
      </w:r>
      <w:bookmarkEnd w:id="4"/>
    </w:p>
    <w:p w14:paraId="2408A3B2" w14:textId="77777777" w:rsidR="00185900" w:rsidRDefault="00185900">
      <w:pPr>
        <w:keepLines w:val="0"/>
        <w:spacing w:line="240" w:lineRule="auto"/>
        <w:rPr>
          <w:color w:val="auto"/>
        </w:rPr>
      </w:pPr>
      <w:r>
        <w:br w:type="page"/>
      </w:r>
    </w:p>
    <w:p w14:paraId="2A6DCB9B" w14:textId="0A8E0B97" w:rsidR="00606833" w:rsidRDefault="00185900" w:rsidP="00185900">
      <w:pPr>
        <w:pStyle w:val="Heading2"/>
      </w:pPr>
      <w:bookmarkStart w:id="91" w:name="_Toc149817466"/>
      <w:r>
        <w:lastRenderedPageBreak/>
        <w:t>Acronyms</w:t>
      </w:r>
      <w:bookmarkEnd w:id="91"/>
    </w:p>
    <w:p w14:paraId="1E431A97" w14:textId="1B9BA514" w:rsidR="0037793C" w:rsidRDefault="0037793C" w:rsidP="0037793C">
      <w:pPr>
        <w:pStyle w:val="Heading3"/>
      </w:pPr>
      <w:bookmarkStart w:id="92" w:name="_Toc149817467"/>
      <w:r w:rsidRPr="0037793C">
        <w:t>AEDC</w:t>
      </w:r>
      <w:bookmarkEnd w:id="92"/>
    </w:p>
    <w:p w14:paraId="6CA64372" w14:textId="75F53A31" w:rsidR="0037793C" w:rsidRPr="0037793C" w:rsidRDefault="0037793C" w:rsidP="0037793C">
      <w:r w:rsidRPr="00C45C33">
        <w:t>Australian Early Development Census</w:t>
      </w:r>
    </w:p>
    <w:p w14:paraId="55D98C9B" w14:textId="3E2318BC" w:rsidR="007655DB" w:rsidRDefault="007655DB" w:rsidP="00BF7EDC">
      <w:pPr>
        <w:pStyle w:val="Heading3"/>
      </w:pPr>
      <w:bookmarkStart w:id="93" w:name="_Toc149817468"/>
      <w:r w:rsidRPr="00963AA1">
        <w:t>ADD</w:t>
      </w:r>
      <w:bookmarkEnd w:id="93"/>
    </w:p>
    <w:p w14:paraId="65CDF3CD" w14:textId="7D5E707A" w:rsidR="00BF7EDC" w:rsidRDefault="00BF7EDC" w:rsidP="00BF7EDC">
      <w:r w:rsidRPr="00367651">
        <w:t>Attention deficit disorder</w:t>
      </w:r>
    </w:p>
    <w:p w14:paraId="3912D45E" w14:textId="77777777" w:rsidR="00BF7EDC" w:rsidRDefault="00BF7EDC" w:rsidP="00BF7EDC">
      <w:pPr>
        <w:pStyle w:val="Heading3"/>
      </w:pPr>
      <w:bookmarkStart w:id="94" w:name="_Toc149817469"/>
      <w:r w:rsidRPr="00963AA1">
        <w:t>ADHD</w:t>
      </w:r>
      <w:bookmarkEnd w:id="94"/>
    </w:p>
    <w:p w14:paraId="2269E3A8" w14:textId="77777777" w:rsidR="00BF7EDC" w:rsidRDefault="00BF7EDC" w:rsidP="00BF7EDC">
      <w:r w:rsidRPr="00367651">
        <w:t>Attention deficit hyperactivity disorder</w:t>
      </w:r>
    </w:p>
    <w:p w14:paraId="7916F019" w14:textId="0354C3FB" w:rsidR="00347B0E" w:rsidRPr="00347B0E" w:rsidRDefault="00347B0E" w:rsidP="00185900">
      <w:pPr>
        <w:pStyle w:val="Heading3"/>
      </w:pPr>
      <w:bookmarkStart w:id="95" w:name="_Toc149817470"/>
      <w:r>
        <w:t>C</w:t>
      </w:r>
      <w:r w:rsidRPr="00347B0E">
        <w:t>FSS</w:t>
      </w:r>
      <w:bookmarkEnd w:id="95"/>
    </w:p>
    <w:p w14:paraId="107D0D17" w14:textId="65EF1646" w:rsidR="00347B0E" w:rsidRDefault="00347B0E" w:rsidP="00347B0E">
      <w:r w:rsidRPr="00347B0E">
        <w:t>Child and Family Support System</w:t>
      </w:r>
    </w:p>
    <w:p w14:paraId="5ECC78DC" w14:textId="602650FD" w:rsidR="00476F4D" w:rsidRDefault="00476F4D" w:rsidP="00476F4D">
      <w:pPr>
        <w:pStyle w:val="Heading3"/>
      </w:pPr>
      <w:bookmarkStart w:id="96" w:name="_Toc149817471"/>
      <w:r>
        <w:t>CPS</w:t>
      </w:r>
      <w:bookmarkEnd w:id="96"/>
    </w:p>
    <w:p w14:paraId="7D5AD6CA" w14:textId="13EEE270" w:rsidR="00476F4D" w:rsidRPr="00476F4D" w:rsidRDefault="00476F4D" w:rsidP="00347B0E">
      <w:pPr>
        <w:rPr>
          <w:lang w:val="en-AU"/>
        </w:rPr>
      </w:pPr>
      <w:r w:rsidRPr="00476F4D">
        <w:t>Child Protection Services</w:t>
      </w:r>
    </w:p>
    <w:p w14:paraId="1DD50449" w14:textId="779DBADF" w:rsidR="00185900" w:rsidRDefault="00185900" w:rsidP="00185900">
      <w:pPr>
        <w:pStyle w:val="Heading3"/>
      </w:pPr>
      <w:bookmarkStart w:id="97" w:name="_Toc149817472"/>
      <w:r>
        <w:t>DCP</w:t>
      </w:r>
      <w:bookmarkEnd w:id="97"/>
    </w:p>
    <w:p w14:paraId="146B4788" w14:textId="51F0F6F6" w:rsidR="00185900" w:rsidRDefault="00185900" w:rsidP="00185900">
      <w:pPr>
        <w:rPr>
          <w:lang w:val="en-AU"/>
        </w:rPr>
      </w:pPr>
      <w:r>
        <w:rPr>
          <w:lang w:val="en-AU"/>
        </w:rPr>
        <w:t>Department for Child Protection (SA)</w:t>
      </w:r>
    </w:p>
    <w:p w14:paraId="796C1B4B" w14:textId="6D57E296" w:rsidR="00185900" w:rsidRDefault="00185900" w:rsidP="009F2609">
      <w:pPr>
        <w:pStyle w:val="Heading3"/>
      </w:pPr>
      <w:bookmarkStart w:id="98" w:name="_Toc149817473"/>
      <w:r>
        <w:t>DH</w:t>
      </w:r>
      <w:r w:rsidR="009F2609">
        <w:t>S</w:t>
      </w:r>
      <w:bookmarkEnd w:id="98"/>
    </w:p>
    <w:p w14:paraId="14BC4585" w14:textId="45AB1678" w:rsidR="009F2609" w:rsidRDefault="009F2609" w:rsidP="00185900">
      <w:pPr>
        <w:rPr>
          <w:lang w:val="en-AU"/>
        </w:rPr>
      </w:pPr>
      <w:r>
        <w:rPr>
          <w:lang w:val="en-AU"/>
        </w:rPr>
        <w:t>Department of Human Services (SA)</w:t>
      </w:r>
    </w:p>
    <w:p w14:paraId="53664A07" w14:textId="6AAC421F" w:rsidR="003B7CEF" w:rsidRDefault="003B7CEF" w:rsidP="003B7CEF">
      <w:pPr>
        <w:pStyle w:val="Heading3"/>
      </w:pPr>
      <w:bookmarkStart w:id="99" w:name="_Toc149817474"/>
      <w:r w:rsidRPr="003023FA">
        <w:t>DSS</w:t>
      </w:r>
      <w:bookmarkEnd w:id="99"/>
    </w:p>
    <w:p w14:paraId="3B6A25E4" w14:textId="0C7EA956" w:rsidR="003B7CEF" w:rsidRDefault="003B7CEF" w:rsidP="00185900">
      <w:r w:rsidRPr="003023FA">
        <w:t>Department of Social Services</w:t>
      </w:r>
      <w:r>
        <w:t xml:space="preserve"> (</w:t>
      </w:r>
      <w:r w:rsidRPr="003023FA">
        <w:t>Commonwealth</w:t>
      </w:r>
      <w:r>
        <w:t>)</w:t>
      </w:r>
    </w:p>
    <w:p w14:paraId="0654721C" w14:textId="568B2358" w:rsidR="009132DE" w:rsidRDefault="009132DE" w:rsidP="009132DE">
      <w:pPr>
        <w:pStyle w:val="Heading3"/>
      </w:pPr>
      <w:bookmarkStart w:id="100" w:name="_Toc149817475"/>
      <w:r w:rsidRPr="003023FA">
        <w:t>DTF</w:t>
      </w:r>
      <w:bookmarkEnd w:id="100"/>
    </w:p>
    <w:p w14:paraId="058D732F" w14:textId="27B8BC5D" w:rsidR="009132DE" w:rsidRDefault="009132DE" w:rsidP="00185900">
      <w:pPr>
        <w:rPr>
          <w:lang w:val="en-AU"/>
        </w:rPr>
      </w:pPr>
      <w:r w:rsidRPr="003023FA">
        <w:t>Department of Treasury and Finance</w:t>
      </w:r>
    </w:p>
    <w:p w14:paraId="12BA2464" w14:textId="3368A28C" w:rsidR="000673C7" w:rsidRDefault="000673C7" w:rsidP="000673C7">
      <w:pPr>
        <w:pStyle w:val="Heading3"/>
      </w:pPr>
      <w:bookmarkStart w:id="101" w:name="_Toc149817476"/>
      <w:r w:rsidRPr="000673C7">
        <w:lastRenderedPageBreak/>
        <w:t>EIP</w:t>
      </w:r>
      <w:bookmarkEnd w:id="101"/>
    </w:p>
    <w:p w14:paraId="0CEDE0C8" w14:textId="4FDF4A94" w:rsidR="000673C7" w:rsidRDefault="000673C7" w:rsidP="000673C7">
      <w:pPr>
        <w:pStyle w:val="BodyText"/>
      </w:pPr>
      <w:r w:rsidRPr="000673C7">
        <w:t>Evidence Informed Practices</w:t>
      </w:r>
    </w:p>
    <w:p w14:paraId="51F4B4E2" w14:textId="44B39DD9" w:rsidR="008D0078" w:rsidRDefault="008D0078" w:rsidP="008D0078">
      <w:pPr>
        <w:pStyle w:val="Heading3"/>
      </w:pPr>
      <w:bookmarkStart w:id="102" w:name="_Toc149817477"/>
      <w:r>
        <w:t>EIRD</w:t>
      </w:r>
      <w:bookmarkEnd w:id="102"/>
    </w:p>
    <w:p w14:paraId="652EC709" w14:textId="4E968633" w:rsidR="008D0078" w:rsidRDefault="008D0078" w:rsidP="00185900">
      <w:r w:rsidRPr="00963AA1">
        <w:t>Early Intervention Research Directorate</w:t>
      </w:r>
    </w:p>
    <w:p w14:paraId="12806B77" w14:textId="77777777" w:rsidR="00E27BD7" w:rsidRDefault="00E27BD7" w:rsidP="00E27BD7">
      <w:pPr>
        <w:pStyle w:val="Heading3"/>
      </w:pPr>
      <w:bookmarkStart w:id="103" w:name="_Toc149817478"/>
      <w:r w:rsidRPr="00E27BD7">
        <w:t>K10, K5</w:t>
      </w:r>
      <w:bookmarkEnd w:id="103"/>
    </w:p>
    <w:p w14:paraId="63A7720B" w14:textId="77777777" w:rsidR="00E27BD7" w:rsidRDefault="00E27BD7" w:rsidP="00E27BD7">
      <w:r w:rsidRPr="00E27BD7">
        <w:t>Kessler Psychological Distress Scale</w:t>
      </w:r>
    </w:p>
    <w:p w14:paraId="58F50861" w14:textId="3B56D5B8" w:rsidR="00337294" w:rsidRDefault="00337294" w:rsidP="00337294">
      <w:pPr>
        <w:pStyle w:val="Heading3"/>
      </w:pPr>
      <w:bookmarkStart w:id="104" w:name="_Toc149817479"/>
      <w:r w:rsidRPr="00963AA1">
        <w:t>NDIS</w:t>
      </w:r>
      <w:bookmarkEnd w:id="104"/>
    </w:p>
    <w:p w14:paraId="047303E0" w14:textId="5DE6617D" w:rsidR="00337294" w:rsidRPr="00185900" w:rsidRDefault="00337294" w:rsidP="00185900">
      <w:pPr>
        <w:rPr>
          <w:lang w:val="en-AU"/>
        </w:rPr>
      </w:pPr>
      <w:r w:rsidRPr="00963AA1">
        <w:t>National Disability Insurance Scheme</w:t>
      </w:r>
    </w:p>
    <w:p w14:paraId="57EE061A" w14:textId="77777777" w:rsidR="00E27BD7" w:rsidRDefault="00E27BD7" w:rsidP="00E27BD7">
      <w:pPr>
        <w:pStyle w:val="Heading3"/>
      </w:pPr>
      <w:bookmarkStart w:id="105" w:name="_Toc149817480"/>
      <w:r w:rsidRPr="00E27BD7">
        <w:t>PEEM</w:t>
      </w:r>
      <w:bookmarkEnd w:id="105"/>
    </w:p>
    <w:p w14:paraId="616CF526" w14:textId="77777777" w:rsidR="00E27BD7" w:rsidRDefault="00E27BD7" w:rsidP="00E27BD7">
      <w:r w:rsidRPr="00E27BD7">
        <w:t>Parent Empowerment and Efficacy Measure</w:t>
      </w:r>
    </w:p>
    <w:p w14:paraId="6CB29BAB" w14:textId="1B0ADA6C" w:rsidR="00F97D21" w:rsidRDefault="00F97D21" w:rsidP="00F97D21">
      <w:pPr>
        <w:pStyle w:val="Heading3"/>
      </w:pPr>
      <w:bookmarkStart w:id="106" w:name="_Toc149817481"/>
      <w:r w:rsidRPr="00963AA1">
        <w:t>PhD</w:t>
      </w:r>
      <w:bookmarkEnd w:id="106"/>
    </w:p>
    <w:p w14:paraId="3A45C651" w14:textId="2089D248" w:rsidR="002D0D5B" w:rsidRPr="00BC6DD7" w:rsidRDefault="002D0D5B" w:rsidP="00BC6DD7">
      <w:bookmarkStart w:id="107" w:name="_Toc149817482"/>
      <w:r w:rsidRPr="00BC6DD7">
        <w:t>A Doctor of Philosophy — the most common degree at the highest academic level, awarded following a course of study and research.</w:t>
      </w:r>
      <w:bookmarkEnd w:id="107"/>
      <w:r w:rsidR="00C82F7E" w:rsidRPr="00BC6DD7">
        <w:t xml:space="preserve"> </w:t>
      </w:r>
    </w:p>
    <w:p w14:paraId="68513EB2" w14:textId="1243489F" w:rsidR="00E27BD7" w:rsidRDefault="00E27BD7" w:rsidP="00E27BD7">
      <w:pPr>
        <w:pStyle w:val="Heading3"/>
      </w:pPr>
      <w:bookmarkStart w:id="108" w:name="_Toc149817483"/>
      <w:r w:rsidRPr="00E27BD7">
        <w:t>PWI</w:t>
      </w:r>
      <w:bookmarkEnd w:id="108"/>
    </w:p>
    <w:p w14:paraId="0FDF1C64" w14:textId="77777777" w:rsidR="00E27BD7" w:rsidRDefault="00E27BD7" w:rsidP="00E27BD7">
      <w:r w:rsidRPr="00E27BD7">
        <w:t>Personal Wellbeing Index</w:t>
      </w:r>
    </w:p>
    <w:p w14:paraId="38AD86A8" w14:textId="3799AED5" w:rsidR="00185900" w:rsidRDefault="00185900" w:rsidP="00185900">
      <w:pPr>
        <w:pStyle w:val="Heading3"/>
      </w:pPr>
      <w:bookmarkStart w:id="109" w:name="_Toc149817484"/>
      <w:r>
        <w:t>RF</w:t>
      </w:r>
      <w:bookmarkEnd w:id="109"/>
    </w:p>
    <w:p w14:paraId="10690870" w14:textId="6C267FC6" w:rsidR="00185900" w:rsidRDefault="00185900" w:rsidP="009E6CEB">
      <w:pPr>
        <w:pStyle w:val="BodyText"/>
      </w:pPr>
      <w:r w:rsidRPr="00963AA1">
        <w:t>Resilient Families</w:t>
      </w:r>
    </w:p>
    <w:p w14:paraId="3041B460" w14:textId="77777777" w:rsidR="000673C7" w:rsidRDefault="000673C7" w:rsidP="000673C7">
      <w:pPr>
        <w:pStyle w:val="Heading3"/>
      </w:pPr>
      <w:bookmarkStart w:id="110" w:name="_Toc149817485"/>
      <w:r w:rsidRPr="000673C7">
        <w:t>RPF</w:t>
      </w:r>
      <w:bookmarkEnd w:id="110"/>
    </w:p>
    <w:p w14:paraId="63B1A342" w14:textId="77777777" w:rsidR="000673C7" w:rsidRDefault="000673C7" w:rsidP="000673C7">
      <w:pPr>
        <w:rPr>
          <w:lang w:val="en-AU"/>
        </w:rPr>
      </w:pPr>
      <w:r w:rsidRPr="000673C7">
        <w:rPr>
          <w:lang w:val="en-AU"/>
        </w:rPr>
        <w:t>Resilience Practice Framework</w:t>
      </w:r>
    </w:p>
    <w:p w14:paraId="641C6AD7" w14:textId="520C955C" w:rsidR="00BB6B3B" w:rsidRDefault="00BB6B3B" w:rsidP="00BB6B3B">
      <w:pPr>
        <w:pStyle w:val="Heading3"/>
      </w:pPr>
      <w:bookmarkStart w:id="111" w:name="_Toc149817486"/>
      <w:r>
        <w:lastRenderedPageBreak/>
        <w:t>RSA</w:t>
      </w:r>
      <w:bookmarkEnd w:id="111"/>
    </w:p>
    <w:p w14:paraId="32E687D9" w14:textId="77777777" w:rsidR="00A333A4" w:rsidRDefault="00A333A4" w:rsidP="000C42C2">
      <w:pPr>
        <w:pStyle w:val="Heading3"/>
        <w:rPr>
          <w:b w:val="0"/>
          <w:bCs w:val="0"/>
          <w:sz w:val="24"/>
          <w:szCs w:val="20"/>
        </w:rPr>
      </w:pPr>
      <w:bookmarkStart w:id="112" w:name="_Toc149817487"/>
      <w:r w:rsidRPr="00A333A4">
        <w:rPr>
          <w:b w:val="0"/>
          <w:bCs w:val="0"/>
          <w:sz w:val="24"/>
          <w:szCs w:val="20"/>
        </w:rPr>
        <w:t>Refer State Authority</w:t>
      </w:r>
      <w:r w:rsidRPr="00A333A4">
        <w:rPr>
          <w:b w:val="0"/>
          <w:bCs w:val="0"/>
          <w:sz w:val="24"/>
          <w:szCs w:val="20"/>
        </w:rPr>
        <w:t xml:space="preserve"> </w:t>
      </w:r>
    </w:p>
    <w:p w14:paraId="008420D5" w14:textId="1819DAAB" w:rsidR="00476F4D" w:rsidRDefault="00476F4D" w:rsidP="000C42C2">
      <w:pPr>
        <w:pStyle w:val="Heading3"/>
      </w:pPr>
      <w:r>
        <w:t>SAPOL</w:t>
      </w:r>
      <w:bookmarkEnd w:id="112"/>
    </w:p>
    <w:p w14:paraId="7663DCE0" w14:textId="010F92BE" w:rsidR="000C42C2" w:rsidRDefault="000C42C2" w:rsidP="000673C7">
      <w:pPr>
        <w:rPr>
          <w:lang w:val="en-AU"/>
        </w:rPr>
      </w:pPr>
      <w:r>
        <w:rPr>
          <w:lang w:val="en-AU"/>
        </w:rPr>
        <w:t>South Australia Police</w:t>
      </w:r>
    </w:p>
    <w:p w14:paraId="71022F04" w14:textId="77777777" w:rsidR="00E27BD7" w:rsidRPr="00E27BD7" w:rsidRDefault="00E27BD7" w:rsidP="00E27BD7">
      <w:pPr>
        <w:pStyle w:val="Heading3"/>
      </w:pPr>
      <w:bookmarkStart w:id="113" w:name="_Toc149817488"/>
      <w:r w:rsidRPr="00E27BD7">
        <w:t>SDQ</w:t>
      </w:r>
      <w:bookmarkEnd w:id="113"/>
    </w:p>
    <w:p w14:paraId="7BD29546" w14:textId="77777777" w:rsidR="00E27BD7" w:rsidRPr="00E27BD7" w:rsidRDefault="00E27BD7" w:rsidP="00E27BD7">
      <w:r w:rsidRPr="00E27BD7">
        <w:t>Strengths and Difficulties Questionnaire</w:t>
      </w:r>
    </w:p>
    <w:p w14:paraId="4210771A" w14:textId="4DC3D492" w:rsidR="00185900" w:rsidRDefault="00185900" w:rsidP="00185900">
      <w:pPr>
        <w:pStyle w:val="Heading3"/>
      </w:pPr>
      <w:bookmarkStart w:id="114" w:name="_Toc149817489"/>
      <w:r>
        <w:t>TBS</w:t>
      </w:r>
      <w:bookmarkEnd w:id="114"/>
    </w:p>
    <w:p w14:paraId="6DB8E361" w14:textId="6A16960E" w:rsidR="00185900" w:rsidRDefault="00185900" w:rsidP="009E6CEB">
      <w:pPr>
        <w:pStyle w:val="BodyText"/>
      </w:pPr>
      <w:r>
        <w:t>The Benevolent Society</w:t>
      </w:r>
    </w:p>
    <w:p w14:paraId="0B9393CC" w14:textId="24AF7597" w:rsidR="0020794D" w:rsidRDefault="0020794D">
      <w:pPr>
        <w:keepLines w:val="0"/>
        <w:spacing w:line="240" w:lineRule="auto"/>
        <w:rPr>
          <w:color w:val="auto"/>
        </w:rPr>
      </w:pPr>
      <w:r>
        <w:br w:type="page"/>
      </w:r>
    </w:p>
    <w:p w14:paraId="442BA977" w14:textId="77777777" w:rsidR="00EB0621" w:rsidRDefault="00EB0621" w:rsidP="00EB0621">
      <w:pPr>
        <w:pStyle w:val="Heading2"/>
      </w:pPr>
      <w:bookmarkStart w:id="115" w:name="_Toc124342343"/>
      <w:bookmarkStart w:id="116" w:name="_Toc149817490"/>
      <w:r>
        <w:lastRenderedPageBreak/>
        <w:t>Appendix – plain text descriptions</w:t>
      </w:r>
      <w:bookmarkEnd w:id="115"/>
      <w:bookmarkEnd w:id="116"/>
    </w:p>
    <w:p w14:paraId="5A1111BF" w14:textId="77777777" w:rsidR="00EB0621" w:rsidRDefault="00EB0621" w:rsidP="00EB0621">
      <w:pPr>
        <w:pStyle w:val="Heading3"/>
      </w:pPr>
      <w:bookmarkStart w:id="117" w:name="_Figure_1_plain"/>
      <w:bookmarkStart w:id="118" w:name="_Toc124342344"/>
      <w:bookmarkStart w:id="119" w:name="_Toc149817491"/>
      <w:bookmarkEnd w:id="117"/>
      <w:r>
        <w:t>Figure 1 plain text description</w:t>
      </w:r>
      <w:bookmarkEnd w:id="118"/>
      <w:bookmarkEnd w:id="119"/>
    </w:p>
    <w:p w14:paraId="5BE2AC38" w14:textId="77777777" w:rsidR="00EB0621" w:rsidRPr="00F51780" w:rsidRDefault="00EB0621" w:rsidP="00EB0621">
      <w:pPr>
        <w:pStyle w:val="BodyText"/>
        <w:rPr>
          <w:lang w:val="en-AU"/>
        </w:rPr>
      </w:pPr>
      <w:r w:rsidRPr="00F51780">
        <w:rPr>
          <w:lang w:val="en-AU"/>
        </w:rPr>
        <w:t xml:space="preserve">Visual representation of the Resilient Families timeline, spanning 2021 to 2027. This time period is called the Social Impact Investment Term. </w:t>
      </w:r>
    </w:p>
    <w:p w14:paraId="6CC8F9AA" w14:textId="081D3FDF" w:rsidR="00EB0621" w:rsidRPr="00F51780" w:rsidRDefault="00EB0621" w:rsidP="00EB0621">
      <w:pPr>
        <w:pStyle w:val="BodyText"/>
        <w:rPr>
          <w:lang w:val="en-AU"/>
        </w:rPr>
      </w:pPr>
      <w:r w:rsidRPr="00F51780">
        <w:rPr>
          <w:lang w:val="en-AU"/>
        </w:rPr>
        <w:t xml:space="preserve">The time that Family Referrals (approximately 300) are accepted spans from mid-2021 to the end of 2025. </w:t>
      </w:r>
    </w:p>
    <w:p w14:paraId="3BC2A792" w14:textId="29602519" w:rsidR="00EB0621" w:rsidRPr="00F51780" w:rsidRDefault="00EB0621" w:rsidP="00EB0621">
      <w:pPr>
        <w:pStyle w:val="BodyText"/>
        <w:rPr>
          <w:lang w:val="en-AU"/>
        </w:rPr>
      </w:pPr>
      <w:r w:rsidRPr="00F51780">
        <w:rPr>
          <w:lang w:val="en-AU"/>
        </w:rPr>
        <w:t xml:space="preserve">Service Delivery (up to 12 months per family) also starts from mid-2021, but extends to the end of 2026. </w:t>
      </w:r>
    </w:p>
    <w:p w14:paraId="35A3594B" w14:textId="77777777" w:rsidR="00EB0621" w:rsidRPr="00F51780" w:rsidRDefault="00EB0621" w:rsidP="00EB0621">
      <w:pPr>
        <w:pStyle w:val="BodyText"/>
        <w:rPr>
          <w:lang w:val="en-AU"/>
        </w:rPr>
      </w:pPr>
      <w:r w:rsidRPr="00F51780">
        <w:rPr>
          <w:lang w:val="en-AU"/>
        </w:rPr>
        <w:t>Calculation dates begin early 2024 and occur yearly at that time from 2024 to 2027.</w:t>
      </w:r>
    </w:p>
    <w:p w14:paraId="56A55023" w14:textId="77777777" w:rsidR="00EB0621" w:rsidRDefault="00EB0621" w:rsidP="00EB0621">
      <w:pPr>
        <w:pStyle w:val="BodyText"/>
        <w:rPr>
          <w:lang w:val="en-AU"/>
        </w:rPr>
      </w:pPr>
      <w:r w:rsidRPr="00F51780">
        <w:rPr>
          <w:lang w:val="en-AU"/>
        </w:rPr>
        <w:t>Outcome payment dates begin at the end of the first quarter in 2024 and occur yearly at that time from 2024 to 2027.</w:t>
      </w:r>
    </w:p>
    <w:p w14:paraId="2E7ECA5C" w14:textId="78BDF4B5" w:rsidR="00EB0621" w:rsidRDefault="00000000" w:rsidP="00EB0621">
      <w:pPr>
        <w:pStyle w:val="BodyText"/>
        <w:rPr>
          <w:lang w:val="en-AU"/>
        </w:rPr>
      </w:pPr>
      <w:hyperlink w:anchor="_Social_impact_investment" w:history="1">
        <w:r w:rsidR="00EB0621" w:rsidRPr="00A003EE">
          <w:rPr>
            <w:rStyle w:val="Hyperlink"/>
            <w:lang w:val="en-AU"/>
          </w:rPr>
          <w:t xml:space="preserve">Return to </w:t>
        </w:r>
        <w:r w:rsidR="00EC5031" w:rsidRPr="00A003EE">
          <w:rPr>
            <w:rStyle w:val="Hyperlink"/>
            <w:lang w:val="en-AU"/>
          </w:rPr>
          <w:t>Figure 1</w:t>
        </w:r>
      </w:hyperlink>
    </w:p>
    <w:p w14:paraId="64545EEE" w14:textId="77777777" w:rsidR="00EB0621" w:rsidRDefault="00EB0621" w:rsidP="00EB0621">
      <w:pPr>
        <w:pStyle w:val="Heading3"/>
      </w:pPr>
      <w:bookmarkStart w:id="120" w:name="_Figure_2_plain"/>
      <w:bookmarkStart w:id="121" w:name="_Toc124342345"/>
      <w:bookmarkStart w:id="122" w:name="_Toc149817492"/>
      <w:bookmarkEnd w:id="120"/>
      <w:r w:rsidRPr="00C66462">
        <w:t>Figure 2</w:t>
      </w:r>
      <w:r>
        <w:t xml:space="preserve"> plain text description</w:t>
      </w:r>
      <w:bookmarkEnd w:id="121"/>
      <w:bookmarkEnd w:id="122"/>
    </w:p>
    <w:p w14:paraId="0C978A50" w14:textId="69AC5092" w:rsidR="00434E7A" w:rsidRDefault="001260DE" w:rsidP="009E6CEB">
      <w:pPr>
        <w:pStyle w:val="BodyText"/>
      </w:pPr>
      <w:r>
        <w:t xml:space="preserve">Overview of the </w:t>
      </w:r>
      <w:r w:rsidR="004D0CA8" w:rsidRPr="004D0CA8">
        <w:t>Child and Family Support System</w:t>
      </w:r>
      <w:r>
        <w:t>.</w:t>
      </w:r>
    </w:p>
    <w:p w14:paraId="324F7FE8" w14:textId="7CCD3A36" w:rsidR="00434E7A" w:rsidRDefault="00907772" w:rsidP="009E6CEB">
      <w:pPr>
        <w:pStyle w:val="BodyText"/>
      </w:pPr>
      <w:r>
        <w:t>The graphic shows the changing services employed a</w:t>
      </w:r>
      <w:r w:rsidR="00844D6F">
        <w:t xml:space="preserve">s child and family risk and complexity increase. </w:t>
      </w:r>
    </w:p>
    <w:p w14:paraId="5BAF9DF7" w14:textId="67C65121" w:rsidR="00844D6F" w:rsidRDefault="00844D6F" w:rsidP="009E6CEB">
      <w:pPr>
        <w:pStyle w:val="BodyText"/>
      </w:pPr>
      <w:r>
        <w:t xml:space="preserve">At low </w:t>
      </w:r>
      <w:r w:rsidR="001E3557">
        <w:t xml:space="preserve">risk and </w:t>
      </w:r>
      <w:r>
        <w:t xml:space="preserve">complexity, universal services are sufficient. </w:t>
      </w:r>
    </w:p>
    <w:p w14:paraId="794C85DC" w14:textId="59D10162" w:rsidR="00844D6F" w:rsidRDefault="00844D6F" w:rsidP="009E6CEB">
      <w:pPr>
        <w:pStyle w:val="BodyText"/>
      </w:pPr>
      <w:r>
        <w:t xml:space="preserve">At medium-to-high </w:t>
      </w:r>
      <w:r w:rsidR="001E3557">
        <w:t xml:space="preserve">risk and </w:t>
      </w:r>
      <w:r>
        <w:t xml:space="preserve">complexity, </w:t>
      </w:r>
      <w:r w:rsidR="001E3557">
        <w:t xml:space="preserve">three tiers of service are </w:t>
      </w:r>
      <w:r w:rsidR="00FB2504">
        <w:t>used</w:t>
      </w:r>
      <w:r w:rsidR="002C2EA6">
        <w:t>:</w:t>
      </w:r>
      <w:r w:rsidR="00FB2504">
        <w:t xml:space="preserve"> </w:t>
      </w:r>
    </w:p>
    <w:p w14:paraId="54E9989A" w14:textId="6F8E1406" w:rsidR="00FB2504" w:rsidRDefault="00FB2504" w:rsidP="00822B98">
      <w:pPr>
        <w:pStyle w:val="Bullets1"/>
      </w:pPr>
      <w:r>
        <w:t xml:space="preserve">The </w:t>
      </w:r>
      <w:r w:rsidR="007B2F32">
        <w:t xml:space="preserve">lowest tier is tier 3, </w:t>
      </w:r>
      <w:r w:rsidR="009A4E13">
        <w:t>Family Support Services</w:t>
      </w:r>
      <w:r w:rsidR="007B2F32">
        <w:t xml:space="preserve">. This provides lower intensity support. </w:t>
      </w:r>
    </w:p>
    <w:p w14:paraId="5BD90144" w14:textId="643C5EC3" w:rsidR="007B2F32" w:rsidRDefault="007B2F32" w:rsidP="00822B98">
      <w:pPr>
        <w:pStyle w:val="Bullets1"/>
      </w:pPr>
      <w:r>
        <w:t xml:space="preserve">The middle tier is tier 2, </w:t>
      </w:r>
      <w:r w:rsidR="009A4E13">
        <w:t>Intensive Family Services</w:t>
      </w:r>
      <w:r>
        <w:t xml:space="preserve">. This provides high intensity/frequency support. </w:t>
      </w:r>
    </w:p>
    <w:p w14:paraId="0CFCB149" w14:textId="53680A72" w:rsidR="007B2F32" w:rsidRDefault="007B2F32" w:rsidP="00822B98">
      <w:pPr>
        <w:pStyle w:val="Bullets1"/>
      </w:pPr>
      <w:r>
        <w:t xml:space="preserve">The highest tier is tier 1, </w:t>
      </w:r>
      <w:r w:rsidR="009A4E13">
        <w:t>Preventing Out-Of-Home Care and Intergenerational Trauma</w:t>
      </w:r>
      <w:r w:rsidR="00596E4B">
        <w:t xml:space="preserve">. This addresses imminent risk of </w:t>
      </w:r>
      <w:r w:rsidR="002C2EA6">
        <w:t xml:space="preserve">a </w:t>
      </w:r>
      <w:r w:rsidR="00822B98">
        <w:t>child</w:t>
      </w:r>
      <w:r w:rsidR="002C2EA6">
        <w:t>’s</w:t>
      </w:r>
      <w:r w:rsidR="00822B98">
        <w:t xml:space="preserve">/children’s removal to out-of-home care. </w:t>
      </w:r>
    </w:p>
    <w:p w14:paraId="5901AB46" w14:textId="691BCCC4" w:rsidR="00822B98" w:rsidRDefault="00822B98" w:rsidP="00822B98">
      <w:pPr>
        <w:pStyle w:val="BodyText"/>
      </w:pPr>
      <w:r>
        <w:t xml:space="preserve">Finally, </w:t>
      </w:r>
      <w:r w:rsidR="00B6076A">
        <w:t xml:space="preserve">if child and family </w:t>
      </w:r>
      <w:r>
        <w:t>high risk and complexity</w:t>
      </w:r>
      <w:r w:rsidR="00B6076A">
        <w:t xml:space="preserve"> is reached</w:t>
      </w:r>
      <w:r>
        <w:t>, out-of-home care</w:t>
      </w:r>
      <w:r w:rsidR="001260DE">
        <w:t xml:space="preserve"> is used</w:t>
      </w:r>
      <w:r>
        <w:t>.</w:t>
      </w:r>
    </w:p>
    <w:p w14:paraId="7B7C4322" w14:textId="726C5ADD" w:rsidR="001260DE" w:rsidRDefault="00000000" w:rsidP="00822B98">
      <w:pPr>
        <w:pStyle w:val="BodyText"/>
      </w:pPr>
      <w:hyperlink w:anchor="_Child_protection_and" w:history="1">
        <w:r w:rsidR="001260DE" w:rsidRPr="00CC688D">
          <w:rPr>
            <w:rStyle w:val="Hyperlink"/>
          </w:rPr>
          <w:t>Return to figure 2</w:t>
        </w:r>
      </w:hyperlink>
    </w:p>
    <w:p w14:paraId="746E8490" w14:textId="77777777" w:rsidR="00822B98" w:rsidRDefault="00822B98" w:rsidP="009E6CEB">
      <w:pPr>
        <w:pStyle w:val="BodyText"/>
      </w:pPr>
    </w:p>
    <w:p w14:paraId="7F5B8FCB" w14:textId="77777777" w:rsidR="00434E7A" w:rsidRPr="00963AA1" w:rsidRDefault="00434E7A" w:rsidP="009E6CEB">
      <w:pPr>
        <w:pStyle w:val="BodyText"/>
      </w:pPr>
    </w:p>
    <w:sectPr w:rsidR="00434E7A" w:rsidRPr="00963AA1" w:rsidSect="00E23D9A">
      <w:headerReference w:type="even" r:id="rId25"/>
      <w:headerReference w:type="default" r:id="rId26"/>
      <w:footerReference w:type="default" r:id="rId27"/>
      <w:headerReference w:type="first" r:id="rId28"/>
      <w:pgSz w:w="11907" w:h="16839" w:code="9"/>
      <w:pgMar w:top="1418" w:right="1701" w:bottom="1134" w:left="1701" w:header="573" w:footer="629" w:gutter="0"/>
      <w:cols w:space="10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0E91" w14:textId="77777777" w:rsidR="00A011A6" w:rsidRPr="00AD6768" w:rsidRDefault="00A011A6" w:rsidP="00AD6768">
      <w:r>
        <w:separator/>
      </w:r>
    </w:p>
    <w:p w14:paraId="5C33BF58" w14:textId="77777777" w:rsidR="00A011A6" w:rsidRDefault="00A011A6"/>
  </w:endnote>
  <w:endnote w:type="continuationSeparator" w:id="0">
    <w:p w14:paraId="6C3BE01E" w14:textId="77777777" w:rsidR="00A011A6" w:rsidRPr="00AD6768" w:rsidRDefault="00A011A6" w:rsidP="00AD6768">
      <w:r>
        <w:continuationSeparator/>
      </w:r>
    </w:p>
    <w:p w14:paraId="5011C88C" w14:textId="77777777" w:rsidR="00A011A6" w:rsidRDefault="00A011A6"/>
  </w:endnote>
  <w:endnote w:type="continuationNotice" w:id="1">
    <w:p w14:paraId="333428F1" w14:textId="77777777" w:rsidR="00A011A6" w:rsidRDefault="00A011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useo Sans 300">
    <w:altName w:val="Calibri"/>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4F6C" w14:textId="584025D0" w:rsidR="00E23D9A" w:rsidRPr="008A2299" w:rsidRDefault="00F2320B" w:rsidP="00DF001F">
    <w:pPr>
      <w:pStyle w:val="Footer"/>
      <w:tabs>
        <w:tab w:val="clear" w:pos="4680"/>
        <w:tab w:val="clear" w:pos="9360"/>
        <w:tab w:val="right" w:pos="8505"/>
      </w:tabs>
      <w:spacing w:before="60"/>
      <w:rPr>
        <w:rFonts w:cstheme="minorHAnsi"/>
        <w:color w:val="000000" w:themeColor="text1"/>
        <w:sz w:val="24"/>
        <w:szCs w:val="24"/>
      </w:rPr>
    </w:pPr>
    <w:r w:rsidRPr="00F2320B">
      <w:rPr>
        <w:rFonts w:cstheme="minorHAnsi"/>
        <w:color w:val="000000" w:themeColor="text1"/>
        <w:sz w:val="24"/>
        <w:szCs w:val="24"/>
      </w:rPr>
      <w:fldChar w:fldCharType="begin"/>
    </w:r>
    <w:r w:rsidRPr="00F2320B">
      <w:rPr>
        <w:rFonts w:cstheme="minorHAnsi"/>
        <w:color w:val="000000" w:themeColor="text1"/>
        <w:sz w:val="24"/>
        <w:szCs w:val="24"/>
      </w:rPr>
      <w:instrText xml:space="preserve"> PAGE   \* MERGEFORMAT </w:instrText>
    </w:r>
    <w:r w:rsidRPr="00F2320B">
      <w:rPr>
        <w:rFonts w:cstheme="minorHAnsi"/>
        <w:color w:val="000000" w:themeColor="text1"/>
        <w:sz w:val="24"/>
        <w:szCs w:val="24"/>
      </w:rPr>
      <w:fldChar w:fldCharType="separate"/>
    </w:r>
    <w:r w:rsidRPr="00F2320B">
      <w:rPr>
        <w:rFonts w:cstheme="minorHAnsi"/>
        <w:noProof/>
        <w:color w:val="000000" w:themeColor="text1"/>
        <w:sz w:val="24"/>
        <w:szCs w:val="24"/>
      </w:rPr>
      <w:t>1</w:t>
    </w:r>
    <w:r w:rsidRPr="00F2320B">
      <w:rPr>
        <w:rFonts w:cstheme="minorHAnsi"/>
        <w:noProof/>
        <w:color w:val="000000" w:themeColor="text1"/>
        <w:sz w:val="24"/>
        <w:szCs w:val="24"/>
      </w:rPr>
      <w:fldChar w:fldCharType="end"/>
    </w:r>
    <w:r>
      <w:rPr>
        <w:rFonts w:cstheme="minorHAnsi"/>
        <w:noProof/>
        <w:color w:val="000000" w:themeColor="text1"/>
        <w:sz w:val="24"/>
        <w:szCs w:val="24"/>
      </w:rPr>
      <w:tab/>
    </w:r>
    <w:r w:rsidR="008A2299" w:rsidRPr="006A2B4C">
      <w:rPr>
        <w:rFonts w:cstheme="minorHAnsi"/>
        <w:color w:val="000000" w:themeColor="text1"/>
        <w:sz w:val="24"/>
        <w:szCs w:val="24"/>
      </w:rPr>
      <w:t xml:space="preserve">Resilient Families Annual Report July 2022 to June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9F86" w14:textId="77777777" w:rsidR="00A12456" w:rsidRDefault="00A12456" w:rsidP="00DF211E">
    <w:pPr>
      <w:pStyle w:val="Footer"/>
      <w:rPr>
        <w:rFonts w:ascii="Museo Sans 300" w:hAnsi="Museo Sans 300" w:cs="Arial"/>
        <w:b/>
        <w:bCs/>
        <w:color w:val="000000" w:themeColor="text1"/>
        <w:sz w:val="28"/>
        <w:szCs w:val="28"/>
      </w:rPr>
    </w:pPr>
  </w:p>
  <w:p w14:paraId="70C7D698" w14:textId="6265AD96" w:rsidR="00E42DB1" w:rsidRPr="00E81BE1" w:rsidRDefault="00DC7743" w:rsidP="00BA6A66">
    <w:pPr>
      <w:pStyle w:val="Footer"/>
      <w:jc w:val="center"/>
      <w:rPr>
        <w:rFonts w:ascii="Museo Sans 300" w:hAnsi="Museo Sans 300" w:cs="Arial"/>
        <w:b/>
        <w:bCs/>
        <w:color w:val="000000" w:themeColor="text1"/>
        <w:sz w:val="28"/>
        <w:szCs w:val="28"/>
      </w:rPr>
    </w:pPr>
    <w:r w:rsidRPr="00E81BE1">
      <w:rPr>
        <w:rFonts w:ascii="Museo Sans 300" w:hAnsi="Museo Sans 300" w:cs="Arial"/>
        <w:b/>
        <w:bCs/>
        <w:color w:val="000000" w:themeColor="text1"/>
        <w:sz w:val="28"/>
        <w:szCs w:val="28"/>
      </w:rPr>
      <w:fldChar w:fldCharType="begin"/>
    </w:r>
    <w:r w:rsidRPr="00E81BE1">
      <w:rPr>
        <w:rFonts w:ascii="Museo Sans 300" w:hAnsi="Museo Sans 300" w:cs="Arial"/>
        <w:b/>
        <w:bCs/>
        <w:color w:val="000000" w:themeColor="text1"/>
        <w:sz w:val="28"/>
        <w:szCs w:val="28"/>
      </w:rPr>
      <w:instrText xml:space="preserve"> PAGE   \* MERGEFORMAT </w:instrText>
    </w:r>
    <w:r w:rsidRPr="00E81BE1">
      <w:rPr>
        <w:rFonts w:ascii="Museo Sans 300" w:hAnsi="Museo Sans 300" w:cs="Arial"/>
        <w:b/>
        <w:bCs/>
        <w:color w:val="000000" w:themeColor="text1"/>
        <w:sz w:val="28"/>
        <w:szCs w:val="28"/>
      </w:rPr>
      <w:fldChar w:fldCharType="separate"/>
    </w:r>
    <w:r w:rsidR="0066255D" w:rsidRPr="00E81BE1">
      <w:rPr>
        <w:rFonts w:ascii="Museo Sans 300" w:hAnsi="Museo Sans 300" w:cs="Arial"/>
        <w:b/>
        <w:bCs/>
        <w:noProof/>
        <w:color w:val="000000" w:themeColor="text1"/>
        <w:sz w:val="28"/>
        <w:szCs w:val="28"/>
      </w:rPr>
      <w:t>6</w:t>
    </w:r>
    <w:r w:rsidRPr="00E81BE1">
      <w:rPr>
        <w:rFonts w:ascii="Museo Sans 300" w:hAnsi="Museo Sans 300" w:cs="Arial"/>
        <w:b/>
        <w:bCs/>
        <w:noProof/>
        <w:color w:val="000000" w:themeColor="text1"/>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376" w14:textId="19D8F895" w:rsidR="00606833" w:rsidRDefault="00606833">
    <w:pPr>
      <w:pStyle w:val="Footer"/>
      <w:jc w:val="right"/>
    </w:pPr>
  </w:p>
  <w:p w14:paraId="1BF61614" w14:textId="15B00092" w:rsidR="0076610C" w:rsidRPr="00606833" w:rsidRDefault="00936C4D" w:rsidP="00936C4D">
    <w:pPr>
      <w:pStyle w:val="Footer"/>
      <w:ind w:right="-427"/>
      <w:jc w:val="center"/>
      <w:rPr>
        <w:lang w:val="en-AU"/>
      </w:rPr>
    </w:pPr>
    <w:r>
      <w:rPr>
        <w:noProof/>
        <w:sz w:val="28"/>
        <w:szCs w:val="28"/>
      </w:rPr>
      <w:drawing>
        <wp:inline distT="0" distB="0" distL="0" distR="0" wp14:anchorId="282B52EC" wp14:editId="4044C82A">
          <wp:extent cx="2404800" cy="662400"/>
          <wp:effectExtent l="0" t="0" r="0" b="4445"/>
          <wp:docPr id="15" name="Picture 15" descr="Government of South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overnment of South Australia. "/>
                  <pic:cNvPicPr/>
                </pic:nvPicPr>
                <pic:blipFill>
                  <a:blip r:embed="rId1"/>
                  <a:stretch>
                    <a:fillRect/>
                  </a:stretch>
                </pic:blipFill>
                <pic:spPr>
                  <a:xfrm>
                    <a:off x="0" y="0"/>
                    <a:ext cx="2404800" cy="662400"/>
                  </a:xfrm>
                  <a:prstGeom prst="rect">
                    <a:avLst/>
                  </a:prstGeom>
                </pic:spPr>
              </pic:pic>
            </a:graphicData>
          </a:graphic>
        </wp:inline>
      </w:drawing>
    </w:r>
    <w:r>
      <w:rPr>
        <w:lang w:val="en-AU"/>
      </w:rPr>
      <w:tab/>
    </w:r>
    <w:r>
      <w:rPr>
        <w:lang w:val="en-AU"/>
      </w:rPr>
      <w:tab/>
    </w:r>
    <w:r>
      <w:rPr>
        <w:noProof/>
      </w:rPr>
      <w:drawing>
        <wp:inline distT="0" distB="0" distL="0" distR="0" wp14:anchorId="2B0AA1D9" wp14:editId="243A05AB">
          <wp:extent cx="2592000" cy="1137600"/>
          <wp:effectExtent l="0" t="0" r="0" b="508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
                    <a:alphaModFix amt="5000"/>
                  </a:blip>
                  <a:stretch>
                    <a:fillRect/>
                  </a:stretch>
                </pic:blipFill>
                <pic:spPr>
                  <a:xfrm>
                    <a:off x="0" y="0"/>
                    <a:ext cx="2592000" cy="11376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6972" w14:textId="71235CB1" w:rsidR="00DC7743" w:rsidRPr="006A2B4C" w:rsidRDefault="00606833" w:rsidP="00DF001F">
    <w:pPr>
      <w:pStyle w:val="Footer"/>
      <w:tabs>
        <w:tab w:val="clear" w:pos="4680"/>
        <w:tab w:val="clear" w:pos="9360"/>
        <w:tab w:val="right" w:pos="8505"/>
      </w:tabs>
      <w:spacing w:before="60"/>
      <w:jc w:val="center"/>
      <w:rPr>
        <w:rFonts w:cstheme="minorHAnsi"/>
        <w:color w:val="000000" w:themeColor="text1"/>
        <w:sz w:val="24"/>
        <w:szCs w:val="24"/>
      </w:rPr>
    </w:pPr>
    <w:r w:rsidRPr="006A2B4C">
      <w:rPr>
        <w:rFonts w:cstheme="minorHAnsi"/>
        <w:color w:val="000000" w:themeColor="text1"/>
        <w:sz w:val="24"/>
        <w:szCs w:val="24"/>
      </w:rPr>
      <w:t>R</w:t>
    </w:r>
    <w:r w:rsidR="002D5A3B" w:rsidRPr="006A2B4C">
      <w:rPr>
        <w:rFonts w:cstheme="minorHAnsi"/>
        <w:color w:val="000000" w:themeColor="text1"/>
        <w:sz w:val="24"/>
        <w:szCs w:val="24"/>
      </w:rPr>
      <w:t xml:space="preserve">esilient </w:t>
    </w:r>
    <w:r w:rsidRPr="006A2B4C">
      <w:rPr>
        <w:rFonts w:cstheme="minorHAnsi"/>
        <w:color w:val="000000" w:themeColor="text1"/>
        <w:sz w:val="24"/>
        <w:szCs w:val="24"/>
      </w:rPr>
      <w:t>F</w:t>
    </w:r>
    <w:r w:rsidR="002D5A3B" w:rsidRPr="006A2B4C">
      <w:rPr>
        <w:rFonts w:cstheme="minorHAnsi"/>
        <w:color w:val="000000" w:themeColor="text1"/>
        <w:sz w:val="24"/>
        <w:szCs w:val="24"/>
      </w:rPr>
      <w:t xml:space="preserve">amilies Annual </w:t>
    </w:r>
    <w:r w:rsidRPr="006A2B4C">
      <w:rPr>
        <w:rFonts w:cstheme="minorHAnsi"/>
        <w:color w:val="000000" w:themeColor="text1"/>
        <w:sz w:val="24"/>
        <w:szCs w:val="24"/>
      </w:rPr>
      <w:t xml:space="preserve">Report </w:t>
    </w:r>
    <w:r w:rsidR="00DC36A0" w:rsidRPr="006A2B4C">
      <w:rPr>
        <w:rFonts w:cstheme="minorHAnsi"/>
        <w:color w:val="000000" w:themeColor="text1"/>
        <w:sz w:val="24"/>
        <w:szCs w:val="24"/>
      </w:rPr>
      <w:t>July 2022 to June 2023</w:t>
    </w:r>
    <w:r w:rsidRPr="006A2B4C">
      <w:rPr>
        <w:rFonts w:cstheme="minorHAnsi"/>
        <w:color w:val="000000" w:themeColor="text1"/>
        <w:sz w:val="24"/>
        <w:szCs w:val="24"/>
      </w:rPr>
      <w:t xml:space="preserve"> </w:t>
    </w:r>
    <w:r w:rsidRPr="006A2B4C">
      <w:rPr>
        <w:rFonts w:cstheme="minorHAnsi"/>
        <w:color w:val="000000" w:themeColor="text1"/>
        <w:sz w:val="24"/>
        <w:szCs w:val="24"/>
      </w:rPr>
      <w:tab/>
    </w:r>
    <w:r w:rsidR="00C97FCA" w:rsidRPr="006A2B4C">
      <w:rPr>
        <w:rFonts w:cstheme="minorHAnsi"/>
        <w:color w:val="000000" w:themeColor="text1"/>
        <w:sz w:val="24"/>
        <w:szCs w:val="24"/>
      </w:rPr>
      <w:fldChar w:fldCharType="begin"/>
    </w:r>
    <w:r w:rsidR="00C97FCA" w:rsidRPr="006A2B4C">
      <w:rPr>
        <w:rFonts w:cstheme="minorHAnsi"/>
        <w:color w:val="000000" w:themeColor="text1"/>
        <w:sz w:val="24"/>
        <w:szCs w:val="24"/>
      </w:rPr>
      <w:instrText xml:space="preserve"> PAGE   \* MERGEFORMAT </w:instrText>
    </w:r>
    <w:r w:rsidR="00C97FCA" w:rsidRPr="006A2B4C">
      <w:rPr>
        <w:rFonts w:cstheme="minorHAnsi"/>
        <w:color w:val="000000" w:themeColor="text1"/>
        <w:sz w:val="24"/>
        <w:szCs w:val="24"/>
      </w:rPr>
      <w:fldChar w:fldCharType="separate"/>
    </w:r>
    <w:r w:rsidR="00C97FCA" w:rsidRPr="006A2B4C">
      <w:rPr>
        <w:rFonts w:cstheme="minorHAnsi"/>
        <w:color w:val="000000" w:themeColor="text1"/>
        <w:sz w:val="24"/>
        <w:szCs w:val="24"/>
      </w:rPr>
      <w:t>6</w:t>
    </w:r>
    <w:r w:rsidR="00C97FCA" w:rsidRPr="006A2B4C">
      <w:rPr>
        <w:rFonts w:cstheme="minorHAnsi"/>
        <w:noProof/>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8D8A" w14:textId="77777777" w:rsidR="00A011A6" w:rsidRPr="00AD6768" w:rsidRDefault="00A011A6" w:rsidP="00AD6768">
      <w:r>
        <w:separator/>
      </w:r>
    </w:p>
    <w:p w14:paraId="3E92B4C2" w14:textId="77777777" w:rsidR="00A011A6" w:rsidRDefault="00A011A6"/>
  </w:footnote>
  <w:footnote w:type="continuationSeparator" w:id="0">
    <w:p w14:paraId="6F777932" w14:textId="77777777" w:rsidR="00A011A6" w:rsidRPr="00AD6768" w:rsidRDefault="00A011A6" w:rsidP="00AD6768">
      <w:r>
        <w:continuationSeparator/>
      </w:r>
    </w:p>
    <w:p w14:paraId="55717769" w14:textId="77777777" w:rsidR="00A011A6" w:rsidRDefault="00A011A6"/>
  </w:footnote>
  <w:footnote w:type="continuationNotice" w:id="1">
    <w:p w14:paraId="5A13BDA5" w14:textId="77777777" w:rsidR="00A011A6" w:rsidRDefault="00A011A6">
      <w:pPr>
        <w:spacing w:line="240" w:lineRule="auto"/>
      </w:pPr>
    </w:p>
  </w:footnote>
  <w:footnote w:id="2">
    <w:p w14:paraId="545CE384" w14:textId="6998035D" w:rsidR="00D06C78" w:rsidRPr="00D06C78" w:rsidRDefault="00D06C78">
      <w:pPr>
        <w:pStyle w:val="FootnoteText"/>
        <w:rPr>
          <w:lang w:val="en-AU"/>
        </w:rPr>
      </w:pPr>
      <w:r>
        <w:rPr>
          <w:rStyle w:val="FootnoteReference"/>
        </w:rPr>
        <w:footnoteRef/>
      </w:r>
      <w:r>
        <w:t xml:space="preserve"> </w:t>
      </w:r>
      <w:r w:rsidR="00337F56" w:rsidRPr="00EF763C">
        <w:rPr>
          <w:sz w:val="25"/>
          <w:szCs w:val="25"/>
          <w:lang w:val="en-AU"/>
        </w:rPr>
        <w:t>Referred to as Out of Home Care (OOHC) in the Operations Manual and Deed</w:t>
      </w:r>
    </w:p>
  </w:footnote>
  <w:footnote w:id="3">
    <w:p w14:paraId="67897013" w14:textId="33F3C3F1" w:rsidR="00E3039F" w:rsidRPr="005C7712" w:rsidRDefault="00E3039F" w:rsidP="00E3039F">
      <w:pPr>
        <w:pStyle w:val="FootnoteText"/>
        <w:rPr>
          <w:lang w:val="en-AU"/>
        </w:rPr>
      </w:pPr>
      <w:r>
        <w:rPr>
          <w:rStyle w:val="FootnoteReference"/>
        </w:rPr>
        <w:footnoteRef/>
      </w:r>
      <w:r>
        <w:t xml:space="preserve"> </w:t>
      </w:r>
      <w:r w:rsidRPr="00072A26">
        <w:t xml:space="preserve">Referral Requests = a request for a referral from </w:t>
      </w:r>
      <w:r w:rsidR="00EC212D" w:rsidRPr="00EC212D">
        <w:t>The Benevolent Society</w:t>
      </w:r>
      <w:r w:rsidR="00EC212D">
        <w:t xml:space="preserve"> </w:t>
      </w:r>
      <w:r w:rsidRPr="00072A26">
        <w:t xml:space="preserve">to </w:t>
      </w:r>
      <w:r w:rsidR="00EC212D" w:rsidRPr="00EC212D">
        <w:t>Department for Child Protection</w:t>
      </w:r>
    </w:p>
  </w:footnote>
  <w:footnote w:id="4">
    <w:p w14:paraId="0CB5D8ED" w14:textId="1A706083" w:rsidR="00E3039F" w:rsidRPr="00445A3B" w:rsidRDefault="00E3039F" w:rsidP="00E3039F">
      <w:pPr>
        <w:pStyle w:val="FootnoteText"/>
        <w:rPr>
          <w:lang w:val="en-AU"/>
        </w:rPr>
      </w:pPr>
      <w:r>
        <w:rPr>
          <w:rStyle w:val="FootnoteReference"/>
        </w:rPr>
        <w:footnoteRef/>
      </w:r>
      <w:r>
        <w:t xml:space="preserve"> </w:t>
      </w:r>
      <w:r w:rsidRPr="00072A26">
        <w:t xml:space="preserve">Fulfilled Referrals = a referral provided by </w:t>
      </w:r>
      <w:r w:rsidR="00EC212D" w:rsidRPr="00EC212D">
        <w:t>Department for Child Protection</w:t>
      </w:r>
      <w:r w:rsidR="00EC212D">
        <w:t xml:space="preserve"> </w:t>
      </w:r>
      <w:r w:rsidRPr="00072A26">
        <w:t xml:space="preserve">for </w:t>
      </w:r>
      <w:r w:rsidR="00EC212D" w:rsidRPr="00EC212D">
        <w:t>The Benevolent Society</w:t>
      </w:r>
    </w:p>
  </w:footnote>
  <w:footnote w:id="5">
    <w:p w14:paraId="0DA153CD" w14:textId="23576C5D" w:rsidR="00E3039F" w:rsidRPr="00E02725" w:rsidRDefault="00E3039F" w:rsidP="00E3039F">
      <w:pPr>
        <w:pStyle w:val="FootnoteText"/>
        <w:rPr>
          <w:lang w:val="en-AU"/>
        </w:rPr>
      </w:pPr>
      <w:r>
        <w:rPr>
          <w:rStyle w:val="FootnoteReference"/>
        </w:rPr>
        <w:footnoteRef/>
      </w:r>
      <w:r>
        <w:t xml:space="preserve"> </w:t>
      </w:r>
      <w:r w:rsidRPr="00072A26">
        <w:t xml:space="preserve">Accepted Referrals = a referral which </w:t>
      </w:r>
      <w:r w:rsidR="00EC212D" w:rsidRPr="00EC212D">
        <w:t>The Benevolent Society</w:t>
      </w:r>
      <w:r w:rsidR="00EC212D">
        <w:t xml:space="preserve"> </w:t>
      </w:r>
      <w:r w:rsidRPr="00072A26">
        <w:t>has agreed to attempt engagement</w:t>
      </w:r>
    </w:p>
  </w:footnote>
  <w:footnote w:id="6">
    <w:p w14:paraId="572F5072" w14:textId="77777777" w:rsidR="00E3039F" w:rsidRPr="00E754B4" w:rsidRDefault="00E3039F" w:rsidP="00E3039F">
      <w:pPr>
        <w:pStyle w:val="FootnoteText"/>
        <w:ind w:left="142" w:right="-709" w:hanging="142"/>
        <w:rPr>
          <w:lang w:val="en-AU"/>
        </w:rPr>
      </w:pPr>
      <w:r>
        <w:rPr>
          <w:rStyle w:val="FootnoteReference"/>
        </w:rPr>
        <w:footnoteRef/>
      </w:r>
      <w:r>
        <w:t xml:space="preserve"> </w:t>
      </w:r>
      <w:r w:rsidRPr="00A22A9F">
        <w:rPr>
          <w:lang w:val="en-AU"/>
        </w:rPr>
        <w:t>Excluded</w:t>
      </w:r>
      <w:r>
        <w:rPr>
          <w:lang w:val="en-AU"/>
        </w:rPr>
        <w:t xml:space="preserve"> = a family who have ceased services due to specific reasons identified within the Operations Manual for the program</w:t>
      </w:r>
    </w:p>
  </w:footnote>
  <w:footnote w:id="7">
    <w:p w14:paraId="4EA29E8F" w14:textId="77777777" w:rsidR="00E3039F" w:rsidRPr="00BB29AA" w:rsidRDefault="00E3039F" w:rsidP="00E3039F">
      <w:pPr>
        <w:pStyle w:val="FootnoteText"/>
        <w:rPr>
          <w:lang w:val="en-AU"/>
        </w:rPr>
      </w:pPr>
      <w:r>
        <w:rPr>
          <w:rStyle w:val="FootnoteReference"/>
        </w:rPr>
        <w:footnoteRef/>
      </w:r>
      <w:r>
        <w:t xml:space="preserve"> </w:t>
      </w:r>
      <w:r>
        <w:rPr>
          <w:lang w:val="en-AU"/>
        </w:rPr>
        <w:t>Intervention Group = a family who will be included in the calculations of the performance percentage</w:t>
      </w:r>
    </w:p>
  </w:footnote>
  <w:footnote w:id="8">
    <w:p w14:paraId="6E853165" w14:textId="042D1F3B" w:rsidR="00192632" w:rsidRPr="00192632" w:rsidRDefault="00192632" w:rsidP="00192632">
      <w:pPr>
        <w:pStyle w:val="FootnoteText"/>
        <w:ind w:left="142" w:hanging="142"/>
        <w:rPr>
          <w:lang w:val="en-AU"/>
        </w:rPr>
      </w:pPr>
      <w:r>
        <w:rPr>
          <w:rStyle w:val="FootnoteReference"/>
        </w:rPr>
        <w:footnoteRef/>
      </w:r>
      <w:r>
        <w:t xml:space="preserve"> </w:t>
      </w:r>
      <w:r w:rsidRPr="00B25683">
        <w:t>Families that are re-referred may have multiple initial assessments, and all families may have multiple reviews.</w:t>
      </w:r>
    </w:p>
  </w:footnote>
  <w:footnote w:id="9">
    <w:p w14:paraId="20ED2BDA" w14:textId="77777777" w:rsidR="00A12456" w:rsidRDefault="00680BAF" w:rsidP="00045DF5">
      <w:pPr>
        <w:pStyle w:val="FootnoteText"/>
        <w:rPr>
          <w:lang w:val="en-AU"/>
        </w:rPr>
      </w:pPr>
      <w:r>
        <w:rPr>
          <w:rStyle w:val="FootnoteReference"/>
        </w:rPr>
        <w:footnoteRef/>
      </w:r>
      <w:r>
        <w:t xml:space="preserve"> </w:t>
      </w:r>
      <w:r w:rsidR="00045DF5" w:rsidRPr="00BC54CB">
        <w:t>Crowe, M., Capic, T., Singh, M., Greenwood, C., Frykberg, G., Khor, S., Cummins, R.A., Fuller-Tyszkiewicz, M., Olsson, C.A., Hutchinson, D., Lycett, K. (2023). Australian Unity Wellbeing Index –Survey 39 Report Appendices. Australians’ subjective wellbeing in 2022: Climate change, mental distress, mood and social connection. Geelong: Australian Centre on Quality of Life, School of Psychology, Deakin University. http://www.acqol.com.au/projects#reports.</w:t>
      </w:r>
    </w:p>
    <w:p w14:paraId="720F95F4" w14:textId="492EBBF3" w:rsidR="00680BAF" w:rsidRPr="00680BAF" w:rsidRDefault="00680BAF">
      <w:pPr>
        <w:pStyle w:val="FootnoteText"/>
        <w:rPr>
          <w:lang w:val="en-AU"/>
        </w:rPr>
      </w:pPr>
    </w:p>
  </w:footnote>
  <w:footnote w:id="10">
    <w:p w14:paraId="2F3D033D" w14:textId="7F014D69" w:rsidR="00BD25FC" w:rsidRPr="00BD25FC" w:rsidRDefault="00BD25FC" w:rsidP="00BD25FC">
      <w:pPr>
        <w:pStyle w:val="FootnoteText"/>
        <w:ind w:left="142" w:hanging="142"/>
        <w:rPr>
          <w:lang w:val="en-AU"/>
        </w:rPr>
      </w:pPr>
      <w:r>
        <w:rPr>
          <w:rStyle w:val="FootnoteReference"/>
        </w:rPr>
        <w:footnoteRef/>
      </w:r>
      <w:r>
        <w:t xml:space="preserve"> </w:t>
      </w:r>
      <w:r w:rsidRPr="007A1246">
        <w:t>Freiberg, K., Homel, R., &amp; Branch, S. (2014). The Parent Empowerment and Efficacy Measure (PEEM): A tool for strengthening the accountability and effectiveness of family support services. Australian Social Work, 67, 405-418.</w:t>
      </w:r>
    </w:p>
  </w:footnote>
  <w:footnote w:id="11">
    <w:p w14:paraId="2863B5B2" w14:textId="5FD9FD5F" w:rsidR="005249FD" w:rsidRPr="005249FD" w:rsidRDefault="005249FD">
      <w:pPr>
        <w:pStyle w:val="FootnoteText"/>
        <w:rPr>
          <w:lang w:val="en-AU"/>
        </w:rPr>
      </w:pPr>
      <w:r>
        <w:rPr>
          <w:rStyle w:val="FootnoteReference"/>
        </w:rPr>
        <w:footnoteRef/>
      </w:r>
      <w:r>
        <w:t xml:space="preserve"> </w:t>
      </w:r>
      <w:r w:rsidR="00C34171" w:rsidRPr="00A31872">
        <w:t>https://www.realwell.org.au/peem/</w:t>
      </w:r>
    </w:p>
  </w:footnote>
  <w:footnote w:id="12">
    <w:p w14:paraId="5FE1809D" w14:textId="403B2C1A" w:rsidR="00C34171" w:rsidRPr="00C34171" w:rsidRDefault="00C34171" w:rsidP="00BD25FC">
      <w:pPr>
        <w:pStyle w:val="FootnoteText"/>
        <w:ind w:left="142" w:hanging="142"/>
        <w:rPr>
          <w:lang w:val="en-AU"/>
        </w:rPr>
      </w:pPr>
      <w:r>
        <w:rPr>
          <w:rStyle w:val="FootnoteReference"/>
        </w:rPr>
        <w:footnoteRef/>
      </w:r>
      <w:r>
        <w:t xml:space="preserve"> </w:t>
      </w:r>
      <w:r w:rsidRPr="00275CB1">
        <w:t>Slade, T., Grove, R., &amp; Burgess, P. (2011). Kessler psychological distress scale: normative data from the 2007 Australian National Survey of Mental Health and Wellbeing. Australian and New Zealand Journal of Psychiatry, 45(4), 308–316.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9D86" w14:textId="24E5F024" w:rsidR="009E1FEB" w:rsidRDefault="009E1FEB">
    <w:pPr>
      <w:pStyle w:val="Header"/>
    </w:pPr>
    <w:r>
      <w:rPr>
        <w:noProof/>
      </w:rPr>
      <mc:AlternateContent>
        <mc:Choice Requires="wps">
          <w:drawing>
            <wp:inline distT="0" distB="0" distL="0" distR="0" wp14:anchorId="243A5B70" wp14:editId="39F477B0">
              <wp:extent cx="443865" cy="443865"/>
              <wp:effectExtent l="0" t="0" r="635" b="5080"/>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28898C" w14:textId="56318D7C" w:rsidR="009E1FEB" w:rsidRPr="009E1FEB" w:rsidRDefault="009E1FEB">
                          <w:pPr>
                            <w:rPr>
                              <w:rFonts w:eastAsia="Calibri" w:cs="Calibri"/>
                              <w:color w:val="A80000"/>
                              <w:szCs w:val="24"/>
                            </w:rPr>
                          </w:pPr>
                          <w:r w:rsidRPr="009E1FEB">
                            <w:rPr>
                              <w:rFonts w:eastAsia="Calibri" w:cs="Calibri"/>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243A5B70" id="_x0000_t202" coordsize="21600,21600" o:spt="202" path="m,l,21600r21600,l21600,xe">
              <v:stroke joinstyle="miter"/>
              <v:path gradientshapeok="t" o:connecttype="rect"/>
            </v:shapetype>
            <v:shape id="Text Box 3"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4828898C" w14:textId="56318D7C" w:rsidR="009E1FEB" w:rsidRPr="009E1FEB" w:rsidRDefault="009E1FEB">
                    <w:pPr>
                      <w:rPr>
                        <w:rFonts w:eastAsia="Calibri" w:cs="Calibri"/>
                        <w:color w:val="A80000"/>
                        <w:szCs w:val="24"/>
                      </w:rPr>
                    </w:pPr>
                    <w:r w:rsidRPr="009E1FEB">
                      <w:rPr>
                        <w:rFonts w:eastAsia="Calibri" w:cs="Calibri"/>
                        <w:color w:val="A80000"/>
                        <w:szCs w:val="24"/>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2631" w14:textId="4BC4F122" w:rsidR="00C97FCA" w:rsidRDefault="009E1FEB">
    <w:pPr>
      <w:pStyle w:val="Header"/>
    </w:pPr>
    <w:r>
      <w:rPr>
        <w:noProof/>
      </w:rPr>
      <mc:AlternateContent>
        <mc:Choice Requires="wps">
          <w:drawing>
            <wp:inline distT="0" distB="0" distL="0" distR="0" wp14:anchorId="1320ADB1" wp14:editId="1117232F">
              <wp:extent cx="443865" cy="443865"/>
              <wp:effectExtent l="0" t="0" r="635" b="5080"/>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F4EB9F" w14:textId="160024F5" w:rsidR="009E1FEB" w:rsidRPr="009E1FEB" w:rsidRDefault="009E1FEB">
                          <w:pPr>
                            <w:rPr>
                              <w:rFonts w:eastAsia="Calibri" w:cs="Calibri"/>
                              <w:color w:val="A80000"/>
                              <w:szCs w:val="24"/>
                            </w:rPr>
                          </w:pPr>
                          <w:r w:rsidRPr="009E1FEB">
                            <w:rPr>
                              <w:rFonts w:eastAsia="Calibri" w:cs="Calibri"/>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1320ADB1" id="_x0000_t202" coordsize="21600,21600" o:spt="202" path="m,l,21600r21600,l21600,xe">
              <v:stroke joinstyle="miter"/>
              <v:path gradientshapeok="t" o:connecttype="rect"/>
            </v:shapetype>
            <v:shape id="Text Box 4" o:spid="_x0000_s1027"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73F4EB9F" w14:textId="160024F5" w:rsidR="009E1FEB" w:rsidRPr="009E1FEB" w:rsidRDefault="009E1FEB">
                    <w:pPr>
                      <w:rPr>
                        <w:rFonts w:eastAsia="Calibri" w:cs="Calibri"/>
                        <w:color w:val="A80000"/>
                        <w:szCs w:val="24"/>
                      </w:rPr>
                    </w:pPr>
                    <w:r w:rsidRPr="009E1FEB">
                      <w:rPr>
                        <w:rFonts w:eastAsia="Calibri" w:cs="Calibri"/>
                        <w:color w:val="A80000"/>
                        <w:szCs w:val="24"/>
                      </w:rPr>
                      <w:t>OFFICIAL</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9AC4" w14:textId="3BA257A6" w:rsidR="00E81BE1" w:rsidRDefault="00E81BE1" w:rsidP="006C135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CE1C" w14:textId="71E6D0F9" w:rsidR="009E1FEB" w:rsidRDefault="009E1FEB" w:rsidP="006C1357">
    <w:pPr>
      <w:pStyle w:val="Header"/>
      <w:spacing w:after="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1824" w14:textId="59F4E5C7" w:rsidR="00C97FCA" w:rsidRPr="002821E8" w:rsidRDefault="002821E8" w:rsidP="002821E8">
    <w:pPr>
      <w:pStyle w:val="Header"/>
      <w:spacing w:after="0" w:line="240" w:lineRule="auto"/>
      <w:jc w:val="center"/>
      <w:rPr>
        <w:color w:val="C00000"/>
      </w:rPr>
    </w:pPr>
    <w:r w:rsidRPr="002821E8">
      <w:rPr>
        <w:color w:val="C00000"/>
      </w:rPr>
      <w:t>OFFICIAL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5293" w14:textId="458D02D5" w:rsidR="00072984" w:rsidRDefault="009E1FEB" w:rsidP="00811D87">
    <w:pPr>
      <w:pStyle w:val="Header"/>
      <w:spacing w:after="840"/>
    </w:pPr>
    <w:r>
      <w:rPr>
        <w:noProof/>
      </w:rPr>
      <mc:AlternateContent>
        <mc:Choice Requires="wps">
          <w:drawing>
            <wp:inline distT="0" distB="0" distL="0" distR="0" wp14:anchorId="4DB277CD" wp14:editId="1793D5AF">
              <wp:extent cx="443865" cy="443865"/>
              <wp:effectExtent l="0" t="0" r="635" b="5080"/>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B273A0" w14:textId="130A69F7" w:rsidR="009E1FEB" w:rsidRPr="009E1FEB" w:rsidRDefault="009E1FEB">
                          <w:pPr>
                            <w:rPr>
                              <w:rFonts w:eastAsia="Calibri" w:cs="Calibri"/>
                              <w:color w:val="A80000"/>
                              <w:szCs w:val="24"/>
                            </w:rPr>
                          </w:pPr>
                          <w:r w:rsidRPr="009E1FEB">
                            <w:rPr>
                              <w:rFonts w:eastAsia="Calibri" w:cs="Calibri"/>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DB277CD" id="_x0000_t202" coordsize="21600,21600" o:spt="202" path="m,l,21600r21600,l21600,xe">
              <v:stroke joinstyle="miter"/>
              <v:path gradientshapeok="t" o:connecttype="rect"/>
            </v:shapetype>
            <v:shape id="Text Box 5"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B6WA1cFAgAAFwQAAA4AAAAAAAAAAAAA&#10;AAAALgIAAGRycy9lMm9Eb2MueG1sUEsBAi0AFAAGAAgAAAAhAPtUaF7WAAAAAwEAAA8AAAAAAAAA&#10;AAAAAAAAXwQAAGRycy9kb3ducmV2LnhtbFBLBQYAAAAABAAEAPMAAABiBQAAAAA=&#10;" filled="f" stroked="f">
              <v:textbox style="mso-fit-shape-to-text:t" inset="0,0,0,0">
                <w:txbxContent>
                  <w:p w14:paraId="02B273A0" w14:textId="130A69F7" w:rsidR="009E1FEB" w:rsidRPr="009E1FEB" w:rsidRDefault="009E1FEB">
                    <w:pPr>
                      <w:rPr>
                        <w:rFonts w:eastAsia="Calibri" w:cs="Calibri"/>
                        <w:color w:val="A80000"/>
                        <w:szCs w:val="24"/>
                      </w:rPr>
                    </w:pPr>
                    <w:r w:rsidRPr="009E1FEB">
                      <w:rPr>
                        <w:rFonts w:eastAsia="Calibri" w:cs="Calibri"/>
                        <w:color w:val="A80000"/>
                        <w:szCs w:val="24"/>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784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4EF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9A9F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04D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E0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FC1A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ABD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C2A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6E3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AC41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E13CD"/>
    <w:multiLevelType w:val="hybridMultilevel"/>
    <w:tmpl w:val="8A80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FB5018"/>
    <w:multiLevelType w:val="hybridMultilevel"/>
    <w:tmpl w:val="716CB39C"/>
    <w:lvl w:ilvl="0" w:tplc="F5848AEA">
      <w:start w:val="1"/>
      <w:numFmt w:val="decimal"/>
      <w:pStyle w:val="Bullet-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292C89"/>
    <w:multiLevelType w:val="hybridMultilevel"/>
    <w:tmpl w:val="A8AEB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1D4967"/>
    <w:multiLevelType w:val="multilevel"/>
    <w:tmpl w:val="5EB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15:restartNumberingAfterBreak="0">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A00586"/>
    <w:multiLevelType w:val="hybridMultilevel"/>
    <w:tmpl w:val="4E92B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C7A19A6"/>
    <w:multiLevelType w:val="multilevel"/>
    <w:tmpl w:val="45A0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DB169F"/>
    <w:multiLevelType w:val="hybridMultilevel"/>
    <w:tmpl w:val="90C09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F613C9"/>
    <w:multiLevelType w:val="hybridMultilevel"/>
    <w:tmpl w:val="735E70E8"/>
    <w:lvl w:ilvl="0" w:tplc="75745E06">
      <w:numFmt w:val="bullet"/>
      <w:lvlText w:val="·"/>
      <w:lvlJc w:val="left"/>
      <w:pPr>
        <w:ind w:left="720" w:hanging="360"/>
      </w:pPr>
      <w:rPr>
        <w:rFonts w:ascii="Calibri" w:eastAsia="Georg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5014D8"/>
    <w:multiLevelType w:val="hybridMultilevel"/>
    <w:tmpl w:val="ABEC2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27" w15:restartNumberingAfterBreak="0">
    <w:nsid w:val="30C9584C"/>
    <w:multiLevelType w:val="hybridMultilevel"/>
    <w:tmpl w:val="8B8C09D6"/>
    <w:lvl w:ilvl="0" w:tplc="619AEE60">
      <w:numFmt w:val="bullet"/>
      <w:lvlText w:val=""/>
      <w:lvlJc w:val="left"/>
      <w:pPr>
        <w:ind w:left="720" w:hanging="360"/>
      </w:pPr>
      <w:rPr>
        <w:rFonts w:ascii="Symbol" w:eastAsia="Georg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D122191"/>
    <w:multiLevelType w:val="hybridMultilevel"/>
    <w:tmpl w:val="DBB68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6CE7F9B"/>
    <w:multiLevelType w:val="hybridMultilevel"/>
    <w:tmpl w:val="00CCE1E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E8B78E1"/>
    <w:multiLevelType w:val="hybridMultilevel"/>
    <w:tmpl w:val="3FE6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295EAB"/>
    <w:multiLevelType w:val="hybridMultilevel"/>
    <w:tmpl w:val="0AF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964C87"/>
    <w:multiLevelType w:val="hybridMultilevel"/>
    <w:tmpl w:val="29CCE54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4D94A2C"/>
    <w:multiLevelType w:val="hybridMultilevel"/>
    <w:tmpl w:val="7CC05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244425"/>
    <w:multiLevelType w:val="hybridMultilevel"/>
    <w:tmpl w:val="59462BE2"/>
    <w:lvl w:ilvl="0" w:tplc="FEFCBE8C">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D3572F2"/>
    <w:multiLevelType w:val="hybridMultilevel"/>
    <w:tmpl w:val="1A72F266"/>
    <w:lvl w:ilvl="0" w:tplc="0C090003">
      <w:start w:val="1"/>
      <w:numFmt w:val="bullet"/>
      <w:lvlText w:val="o"/>
      <w:lvlJc w:val="left"/>
      <w:pPr>
        <w:ind w:left="360" w:hanging="360"/>
      </w:pPr>
      <w:rPr>
        <w:rFonts w:ascii="Courier New" w:hAnsi="Courier New" w:cs="Courier New"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EF23E77"/>
    <w:multiLevelType w:val="hybridMultilevel"/>
    <w:tmpl w:val="5D829A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3981287"/>
    <w:multiLevelType w:val="hybridMultilevel"/>
    <w:tmpl w:val="01EE804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63178455">
    <w:abstractNumId w:val="18"/>
  </w:num>
  <w:num w:numId="2" w16cid:durableId="2070492142">
    <w:abstractNumId w:val="25"/>
  </w:num>
  <w:num w:numId="3" w16cid:durableId="926888740">
    <w:abstractNumId w:val="38"/>
  </w:num>
  <w:num w:numId="4" w16cid:durableId="838958715">
    <w:abstractNumId w:val="39"/>
  </w:num>
  <w:num w:numId="5" w16cid:durableId="1989170582">
    <w:abstractNumId w:val="44"/>
  </w:num>
  <w:num w:numId="6" w16cid:durableId="1659844514">
    <w:abstractNumId w:val="32"/>
  </w:num>
  <w:num w:numId="7" w16cid:durableId="1185094181">
    <w:abstractNumId w:val="19"/>
  </w:num>
  <w:num w:numId="8" w16cid:durableId="1149976422">
    <w:abstractNumId w:val="28"/>
  </w:num>
  <w:num w:numId="9" w16cid:durableId="740448656">
    <w:abstractNumId w:val="11"/>
  </w:num>
  <w:num w:numId="10" w16cid:durableId="750154005">
    <w:abstractNumId w:val="30"/>
  </w:num>
  <w:num w:numId="11" w16cid:durableId="1547109283">
    <w:abstractNumId w:val="29"/>
  </w:num>
  <w:num w:numId="12" w16cid:durableId="1959557232">
    <w:abstractNumId w:val="16"/>
  </w:num>
  <w:num w:numId="13" w16cid:durableId="1014919150">
    <w:abstractNumId w:val="26"/>
  </w:num>
  <w:num w:numId="14" w16cid:durableId="1549075042">
    <w:abstractNumId w:val="21"/>
  </w:num>
  <w:num w:numId="15" w16cid:durableId="1330786990">
    <w:abstractNumId w:val="3"/>
  </w:num>
  <w:num w:numId="16" w16cid:durableId="949899383">
    <w:abstractNumId w:val="15"/>
  </w:num>
  <w:num w:numId="17" w16cid:durableId="1980070250">
    <w:abstractNumId w:val="42"/>
  </w:num>
  <w:num w:numId="18" w16cid:durableId="948241288">
    <w:abstractNumId w:val="33"/>
  </w:num>
  <w:num w:numId="19" w16cid:durableId="346059334">
    <w:abstractNumId w:val="37"/>
  </w:num>
  <w:num w:numId="20" w16cid:durableId="1136289933">
    <w:abstractNumId w:val="40"/>
  </w:num>
  <w:num w:numId="21" w16cid:durableId="911358139">
    <w:abstractNumId w:val="43"/>
  </w:num>
  <w:num w:numId="22" w16cid:durableId="894583526">
    <w:abstractNumId w:val="36"/>
  </w:num>
  <w:num w:numId="23" w16cid:durableId="1492716327">
    <w:abstractNumId w:val="31"/>
  </w:num>
  <w:num w:numId="24" w16cid:durableId="1291669434">
    <w:abstractNumId w:val="24"/>
  </w:num>
  <w:num w:numId="25" w16cid:durableId="1970284187">
    <w:abstractNumId w:val="17"/>
  </w:num>
  <w:num w:numId="26" w16cid:durableId="1688360182">
    <w:abstractNumId w:val="35"/>
  </w:num>
  <w:num w:numId="27" w16cid:durableId="209726042">
    <w:abstractNumId w:val="27"/>
  </w:num>
  <w:num w:numId="28" w16cid:durableId="526724454">
    <w:abstractNumId w:val="34"/>
  </w:num>
  <w:num w:numId="29" w16cid:durableId="1562978958">
    <w:abstractNumId w:val="13"/>
  </w:num>
  <w:num w:numId="30" w16cid:durableId="9896784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2266929">
    <w:abstractNumId w:val="14"/>
  </w:num>
  <w:num w:numId="32" w16cid:durableId="1788353558">
    <w:abstractNumId w:val="20"/>
  </w:num>
  <w:num w:numId="33" w16cid:durableId="1094135433">
    <w:abstractNumId w:val="22"/>
  </w:num>
  <w:num w:numId="34" w16cid:durableId="1417166237">
    <w:abstractNumId w:val="10"/>
  </w:num>
  <w:num w:numId="35" w16cid:durableId="1820804308">
    <w:abstractNumId w:val="23"/>
  </w:num>
  <w:num w:numId="36" w16cid:durableId="1717655599">
    <w:abstractNumId w:val="9"/>
  </w:num>
  <w:num w:numId="37" w16cid:durableId="1491094035">
    <w:abstractNumId w:val="7"/>
  </w:num>
  <w:num w:numId="38" w16cid:durableId="256064332">
    <w:abstractNumId w:val="6"/>
  </w:num>
  <w:num w:numId="39" w16cid:durableId="623803392">
    <w:abstractNumId w:val="5"/>
  </w:num>
  <w:num w:numId="40" w16cid:durableId="983696882">
    <w:abstractNumId w:val="4"/>
  </w:num>
  <w:num w:numId="41" w16cid:durableId="916859489">
    <w:abstractNumId w:val="8"/>
  </w:num>
  <w:num w:numId="42" w16cid:durableId="1255241506">
    <w:abstractNumId w:val="2"/>
  </w:num>
  <w:num w:numId="43" w16cid:durableId="1620143037">
    <w:abstractNumId w:val="1"/>
  </w:num>
  <w:num w:numId="44" w16cid:durableId="1545017807">
    <w:abstractNumId w:val="0"/>
  </w:num>
  <w:num w:numId="45" w16cid:durableId="209733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formatting="1" w:enforcement="0"/>
  <w:styleLockTheme/>
  <w:styleLockQFSet/>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E1"/>
    <w:rsid w:val="00001FA6"/>
    <w:rsid w:val="00005CE5"/>
    <w:rsid w:val="0001085D"/>
    <w:rsid w:val="0001338C"/>
    <w:rsid w:val="00017179"/>
    <w:rsid w:val="00020556"/>
    <w:rsid w:val="00023B79"/>
    <w:rsid w:val="000256EC"/>
    <w:rsid w:val="00025830"/>
    <w:rsid w:val="00026E3B"/>
    <w:rsid w:val="00032E8B"/>
    <w:rsid w:val="000333B1"/>
    <w:rsid w:val="00033C3C"/>
    <w:rsid w:val="00034209"/>
    <w:rsid w:val="00036286"/>
    <w:rsid w:val="00040BE5"/>
    <w:rsid w:val="00040D63"/>
    <w:rsid w:val="000421E2"/>
    <w:rsid w:val="00043453"/>
    <w:rsid w:val="00044060"/>
    <w:rsid w:val="000451B1"/>
    <w:rsid w:val="00045DF5"/>
    <w:rsid w:val="00046962"/>
    <w:rsid w:val="00046E9D"/>
    <w:rsid w:val="000504AA"/>
    <w:rsid w:val="00053948"/>
    <w:rsid w:val="00055120"/>
    <w:rsid w:val="00055643"/>
    <w:rsid w:val="00060346"/>
    <w:rsid w:val="00063432"/>
    <w:rsid w:val="000649E6"/>
    <w:rsid w:val="00065248"/>
    <w:rsid w:val="00065AB1"/>
    <w:rsid w:val="00065F54"/>
    <w:rsid w:val="000673C7"/>
    <w:rsid w:val="000678C1"/>
    <w:rsid w:val="000700E5"/>
    <w:rsid w:val="000705E1"/>
    <w:rsid w:val="000723D1"/>
    <w:rsid w:val="00072984"/>
    <w:rsid w:val="00072A4F"/>
    <w:rsid w:val="00073022"/>
    <w:rsid w:val="00074A05"/>
    <w:rsid w:val="00077142"/>
    <w:rsid w:val="00080691"/>
    <w:rsid w:val="00083C79"/>
    <w:rsid w:val="00084B5C"/>
    <w:rsid w:val="00090066"/>
    <w:rsid w:val="00093C55"/>
    <w:rsid w:val="00094068"/>
    <w:rsid w:val="000947D4"/>
    <w:rsid w:val="00095EF4"/>
    <w:rsid w:val="00096289"/>
    <w:rsid w:val="000975BE"/>
    <w:rsid w:val="00097DCB"/>
    <w:rsid w:val="000A01E1"/>
    <w:rsid w:val="000A0948"/>
    <w:rsid w:val="000A1017"/>
    <w:rsid w:val="000A1378"/>
    <w:rsid w:val="000A154D"/>
    <w:rsid w:val="000A1EE6"/>
    <w:rsid w:val="000A29CC"/>
    <w:rsid w:val="000A37CA"/>
    <w:rsid w:val="000A3DEF"/>
    <w:rsid w:val="000A5E4D"/>
    <w:rsid w:val="000A6152"/>
    <w:rsid w:val="000A6D5B"/>
    <w:rsid w:val="000A6E5D"/>
    <w:rsid w:val="000A9F27"/>
    <w:rsid w:val="000B1659"/>
    <w:rsid w:val="000B1AAD"/>
    <w:rsid w:val="000B20E1"/>
    <w:rsid w:val="000B449B"/>
    <w:rsid w:val="000B4D3D"/>
    <w:rsid w:val="000B5793"/>
    <w:rsid w:val="000B65AD"/>
    <w:rsid w:val="000B70D6"/>
    <w:rsid w:val="000B76B8"/>
    <w:rsid w:val="000B7D1A"/>
    <w:rsid w:val="000C2DB9"/>
    <w:rsid w:val="000C42C2"/>
    <w:rsid w:val="000C5BA2"/>
    <w:rsid w:val="000C5C91"/>
    <w:rsid w:val="000D0164"/>
    <w:rsid w:val="000D1B10"/>
    <w:rsid w:val="000D3EFF"/>
    <w:rsid w:val="000D4A91"/>
    <w:rsid w:val="000E0344"/>
    <w:rsid w:val="000E2C73"/>
    <w:rsid w:val="000E4F0A"/>
    <w:rsid w:val="000E58C4"/>
    <w:rsid w:val="000E66AD"/>
    <w:rsid w:val="000E6BAB"/>
    <w:rsid w:val="000E76EF"/>
    <w:rsid w:val="000E79D8"/>
    <w:rsid w:val="000E7F42"/>
    <w:rsid w:val="000F528D"/>
    <w:rsid w:val="000F6401"/>
    <w:rsid w:val="000F657D"/>
    <w:rsid w:val="000F7401"/>
    <w:rsid w:val="000F7461"/>
    <w:rsid w:val="0010014D"/>
    <w:rsid w:val="001001DE"/>
    <w:rsid w:val="001002C1"/>
    <w:rsid w:val="00100402"/>
    <w:rsid w:val="0010129D"/>
    <w:rsid w:val="00101B94"/>
    <w:rsid w:val="00101F80"/>
    <w:rsid w:val="001040B4"/>
    <w:rsid w:val="00104252"/>
    <w:rsid w:val="001047B4"/>
    <w:rsid w:val="001049FD"/>
    <w:rsid w:val="00107EBC"/>
    <w:rsid w:val="00110DB0"/>
    <w:rsid w:val="001110CD"/>
    <w:rsid w:val="00113009"/>
    <w:rsid w:val="0011509E"/>
    <w:rsid w:val="00117E65"/>
    <w:rsid w:val="00122744"/>
    <w:rsid w:val="00122B4D"/>
    <w:rsid w:val="001233ED"/>
    <w:rsid w:val="00123882"/>
    <w:rsid w:val="00125A33"/>
    <w:rsid w:val="001260DE"/>
    <w:rsid w:val="001261F2"/>
    <w:rsid w:val="00126A15"/>
    <w:rsid w:val="001271EF"/>
    <w:rsid w:val="00130B39"/>
    <w:rsid w:val="001315C5"/>
    <w:rsid w:val="00131B60"/>
    <w:rsid w:val="00132FCF"/>
    <w:rsid w:val="001331B4"/>
    <w:rsid w:val="00135370"/>
    <w:rsid w:val="00135AEE"/>
    <w:rsid w:val="00136736"/>
    <w:rsid w:val="001410C4"/>
    <w:rsid w:val="0014329D"/>
    <w:rsid w:val="0014336A"/>
    <w:rsid w:val="00144F1A"/>
    <w:rsid w:val="0014530C"/>
    <w:rsid w:val="0015228C"/>
    <w:rsid w:val="001537E4"/>
    <w:rsid w:val="00154D1C"/>
    <w:rsid w:val="001573C7"/>
    <w:rsid w:val="0016225E"/>
    <w:rsid w:val="0016338B"/>
    <w:rsid w:val="00164F40"/>
    <w:rsid w:val="001658D5"/>
    <w:rsid w:val="00166483"/>
    <w:rsid w:val="00171207"/>
    <w:rsid w:val="00171216"/>
    <w:rsid w:val="0017134A"/>
    <w:rsid w:val="00174460"/>
    <w:rsid w:val="00174D36"/>
    <w:rsid w:val="00175292"/>
    <w:rsid w:val="00175922"/>
    <w:rsid w:val="00180B6B"/>
    <w:rsid w:val="00181B66"/>
    <w:rsid w:val="00181BF5"/>
    <w:rsid w:val="001826EB"/>
    <w:rsid w:val="00182A5F"/>
    <w:rsid w:val="00182FC2"/>
    <w:rsid w:val="001833DE"/>
    <w:rsid w:val="00185900"/>
    <w:rsid w:val="001868D5"/>
    <w:rsid w:val="001921E1"/>
    <w:rsid w:val="00192632"/>
    <w:rsid w:val="00194923"/>
    <w:rsid w:val="00195719"/>
    <w:rsid w:val="00195753"/>
    <w:rsid w:val="001962FB"/>
    <w:rsid w:val="00197776"/>
    <w:rsid w:val="00197B07"/>
    <w:rsid w:val="001A0C3B"/>
    <w:rsid w:val="001A18C6"/>
    <w:rsid w:val="001A1AAB"/>
    <w:rsid w:val="001A3F4F"/>
    <w:rsid w:val="001A4B14"/>
    <w:rsid w:val="001A6FAD"/>
    <w:rsid w:val="001A7532"/>
    <w:rsid w:val="001B0F36"/>
    <w:rsid w:val="001B1C14"/>
    <w:rsid w:val="001B2157"/>
    <w:rsid w:val="001B4ABA"/>
    <w:rsid w:val="001B507A"/>
    <w:rsid w:val="001B51F7"/>
    <w:rsid w:val="001B5C0E"/>
    <w:rsid w:val="001B5C39"/>
    <w:rsid w:val="001B5D84"/>
    <w:rsid w:val="001B697A"/>
    <w:rsid w:val="001C0059"/>
    <w:rsid w:val="001C0AD3"/>
    <w:rsid w:val="001C2DF6"/>
    <w:rsid w:val="001C4693"/>
    <w:rsid w:val="001C5AD4"/>
    <w:rsid w:val="001C67FD"/>
    <w:rsid w:val="001C6B48"/>
    <w:rsid w:val="001C7226"/>
    <w:rsid w:val="001C7D6D"/>
    <w:rsid w:val="001D1638"/>
    <w:rsid w:val="001D5704"/>
    <w:rsid w:val="001D6A36"/>
    <w:rsid w:val="001D7EDE"/>
    <w:rsid w:val="001E1DD0"/>
    <w:rsid w:val="001E288A"/>
    <w:rsid w:val="001E31F4"/>
    <w:rsid w:val="001E334C"/>
    <w:rsid w:val="001E342A"/>
    <w:rsid w:val="001E3557"/>
    <w:rsid w:val="001E73B1"/>
    <w:rsid w:val="001F143B"/>
    <w:rsid w:val="001F15ED"/>
    <w:rsid w:val="001F1D25"/>
    <w:rsid w:val="001F27C0"/>
    <w:rsid w:val="001F40D0"/>
    <w:rsid w:val="00201973"/>
    <w:rsid w:val="00202563"/>
    <w:rsid w:val="002035F3"/>
    <w:rsid w:val="0020379C"/>
    <w:rsid w:val="00203897"/>
    <w:rsid w:val="00206FD0"/>
    <w:rsid w:val="0020794D"/>
    <w:rsid w:val="002118DA"/>
    <w:rsid w:val="00211A02"/>
    <w:rsid w:val="00211EB5"/>
    <w:rsid w:val="00212702"/>
    <w:rsid w:val="00213AE0"/>
    <w:rsid w:val="002142A1"/>
    <w:rsid w:val="00214D4C"/>
    <w:rsid w:val="00216595"/>
    <w:rsid w:val="00216884"/>
    <w:rsid w:val="0022052C"/>
    <w:rsid w:val="00222373"/>
    <w:rsid w:val="00222E15"/>
    <w:rsid w:val="00223905"/>
    <w:rsid w:val="00223E3B"/>
    <w:rsid w:val="002253E7"/>
    <w:rsid w:val="00225D5F"/>
    <w:rsid w:val="002313BE"/>
    <w:rsid w:val="00231D4F"/>
    <w:rsid w:val="0023296A"/>
    <w:rsid w:val="00233438"/>
    <w:rsid w:val="00234FAA"/>
    <w:rsid w:val="002352E0"/>
    <w:rsid w:val="00235DE5"/>
    <w:rsid w:val="00236EA9"/>
    <w:rsid w:val="00237BF8"/>
    <w:rsid w:val="002411FE"/>
    <w:rsid w:val="002438AC"/>
    <w:rsid w:val="00243C32"/>
    <w:rsid w:val="00247A88"/>
    <w:rsid w:val="00252EB8"/>
    <w:rsid w:val="002532D7"/>
    <w:rsid w:val="00254F7E"/>
    <w:rsid w:val="00255566"/>
    <w:rsid w:val="002556E3"/>
    <w:rsid w:val="00255B1A"/>
    <w:rsid w:val="002565F3"/>
    <w:rsid w:val="00256BC7"/>
    <w:rsid w:val="0025711F"/>
    <w:rsid w:val="00260F66"/>
    <w:rsid w:val="00261F0D"/>
    <w:rsid w:val="0026355D"/>
    <w:rsid w:val="002650D3"/>
    <w:rsid w:val="002653A6"/>
    <w:rsid w:val="0026621E"/>
    <w:rsid w:val="00266855"/>
    <w:rsid w:val="00267A1F"/>
    <w:rsid w:val="002705DB"/>
    <w:rsid w:val="00270773"/>
    <w:rsid w:val="00270A2C"/>
    <w:rsid w:val="002712B5"/>
    <w:rsid w:val="0027465A"/>
    <w:rsid w:val="00275CB1"/>
    <w:rsid w:val="00276A1F"/>
    <w:rsid w:val="002821E8"/>
    <w:rsid w:val="00283374"/>
    <w:rsid w:val="00283446"/>
    <w:rsid w:val="002851E3"/>
    <w:rsid w:val="00286D9C"/>
    <w:rsid w:val="00287159"/>
    <w:rsid w:val="0028780E"/>
    <w:rsid w:val="00290B0A"/>
    <w:rsid w:val="00290EAA"/>
    <w:rsid w:val="00295337"/>
    <w:rsid w:val="00296CAB"/>
    <w:rsid w:val="0029709F"/>
    <w:rsid w:val="002A0418"/>
    <w:rsid w:val="002A1ACD"/>
    <w:rsid w:val="002A29A5"/>
    <w:rsid w:val="002A3E2E"/>
    <w:rsid w:val="002A478B"/>
    <w:rsid w:val="002A566C"/>
    <w:rsid w:val="002A70E8"/>
    <w:rsid w:val="002B0B6D"/>
    <w:rsid w:val="002B408D"/>
    <w:rsid w:val="002B4E6C"/>
    <w:rsid w:val="002B5595"/>
    <w:rsid w:val="002C05FC"/>
    <w:rsid w:val="002C06BE"/>
    <w:rsid w:val="002C08AE"/>
    <w:rsid w:val="002C2262"/>
    <w:rsid w:val="002C22E7"/>
    <w:rsid w:val="002C2336"/>
    <w:rsid w:val="002C238E"/>
    <w:rsid w:val="002C2EA6"/>
    <w:rsid w:val="002C3945"/>
    <w:rsid w:val="002C7E4D"/>
    <w:rsid w:val="002D0D5B"/>
    <w:rsid w:val="002D1789"/>
    <w:rsid w:val="002D19F5"/>
    <w:rsid w:val="002D3481"/>
    <w:rsid w:val="002D3C0F"/>
    <w:rsid w:val="002D491A"/>
    <w:rsid w:val="002D4BC0"/>
    <w:rsid w:val="002D5544"/>
    <w:rsid w:val="002D5A3B"/>
    <w:rsid w:val="002D64B4"/>
    <w:rsid w:val="002D6DD7"/>
    <w:rsid w:val="002D6E7B"/>
    <w:rsid w:val="002D758E"/>
    <w:rsid w:val="002D7679"/>
    <w:rsid w:val="002E1A0F"/>
    <w:rsid w:val="002E2089"/>
    <w:rsid w:val="002E3E79"/>
    <w:rsid w:val="002E45AC"/>
    <w:rsid w:val="002E5397"/>
    <w:rsid w:val="002E735D"/>
    <w:rsid w:val="002E74B2"/>
    <w:rsid w:val="002F0DA0"/>
    <w:rsid w:val="002F10AA"/>
    <w:rsid w:val="002F12DC"/>
    <w:rsid w:val="002F3226"/>
    <w:rsid w:val="002F49F0"/>
    <w:rsid w:val="002F4C5C"/>
    <w:rsid w:val="0030081C"/>
    <w:rsid w:val="003023FA"/>
    <w:rsid w:val="003052F6"/>
    <w:rsid w:val="0030535B"/>
    <w:rsid w:val="003055CD"/>
    <w:rsid w:val="003071C3"/>
    <w:rsid w:val="003109EA"/>
    <w:rsid w:val="003112AB"/>
    <w:rsid w:val="00312CF4"/>
    <w:rsid w:val="00312D90"/>
    <w:rsid w:val="00312FCA"/>
    <w:rsid w:val="00313458"/>
    <w:rsid w:val="003158F9"/>
    <w:rsid w:val="00315B1F"/>
    <w:rsid w:val="00315F30"/>
    <w:rsid w:val="00317104"/>
    <w:rsid w:val="003179DF"/>
    <w:rsid w:val="00321499"/>
    <w:rsid w:val="003217BE"/>
    <w:rsid w:val="00321CB1"/>
    <w:rsid w:val="003224FE"/>
    <w:rsid w:val="003231D9"/>
    <w:rsid w:val="003236ED"/>
    <w:rsid w:val="00323C7E"/>
    <w:rsid w:val="003244C7"/>
    <w:rsid w:val="003245CD"/>
    <w:rsid w:val="0032470A"/>
    <w:rsid w:val="0032675D"/>
    <w:rsid w:val="00326900"/>
    <w:rsid w:val="0032691C"/>
    <w:rsid w:val="00326AF3"/>
    <w:rsid w:val="00330C8E"/>
    <w:rsid w:val="003322F3"/>
    <w:rsid w:val="0033267A"/>
    <w:rsid w:val="00332C4F"/>
    <w:rsid w:val="00333167"/>
    <w:rsid w:val="00333B0B"/>
    <w:rsid w:val="00336379"/>
    <w:rsid w:val="00337294"/>
    <w:rsid w:val="00337733"/>
    <w:rsid w:val="00337F56"/>
    <w:rsid w:val="00341B38"/>
    <w:rsid w:val="00343D56"/>
    <w:rsid w:val="00345962"/>
    <w:rsid w:val="00346CD5"/>
    <w:rsid w:val="00346D03"/>
    <w:rsid w:val="00347B0E"/>
    <w:rsid w:val="00350D8E"/>
    <w:rsid w:val="00352359"/>
    <w:rsid w:val="00355223"/>
    <w:rsid w:val="00355CA2"/>
    <w:rsid w:val="00356820"/>
    <w:rsid w:val="00356D8B"/>
    <w:rsid w:val="00356F92"/>
    <w:rsid w:val="00360D8B"/>
    <w:rsid w:val="0036182D"/>
    <w:rsid w:val="00362536"/>
    <w:rsid w:val="00362567"/>
    <w:rsid w:val="00363C21"/>
    <w:rsid w:val="00364427"/>
    <w:rsid w:val="003647EF"/>
    <w:rsid w:val="00364851"/>
    <w:rsid w:val="00366ABC"/>
    <w:rsid w:val="00367651"/>
    <w:rsid w:val="00367D43"/>
    <w:rsid w:val="003712FD"/>
    <w:rsid w:val="003717E5"/>
    <w:rsid w:val="00372486"/>
    <w:rsid w:val="00372C3D"/>
    <w:rsid w:val="00372F19"/>
    <w:rsid w:val="003731D7"/>
    <w:rsid w:val="0037402B"/>
    <w:rsid w:val="00374FC5"/>
    <w:rsid w:val="00375A06"/>
    <w:rsid w:val="00376887"/>
    <w:rsid w:val="0037793C"/>
    <w:rsid w:val="0038155D"/>
    <w:rsid w:val="003826A6"/>
    <w:rsid w:val="003844CB"/>
    <w:rsid w:val="0038465E"/>
    <w:rsid w:val="00385046"/>
    <w:rsid w:val="00385F5A"/>
    <w:rsid w:val="0038666D"/>
    <w:rsid w:val="003867F6"/>
    <w:rsid w:val="0038710E"/>
    <w:rsid w:val="00387DA9"/>
    <w:rsid w:val="00387E88"/>
    <w:rsid w:val="00390577"/>
    <w:rsid w:val="003914FF"/>
    <w:rsid w:val="00393AB7"/>
    <w:rsid w:val="0039418E"/>
    <w:rsid w:val="00394549"/>
    <w:rsid w:val="00394E79"/>
    <w:rsid w:val="00394EAB"/>
    <w:rsid w:val="00396599"/>
    <w:rsid w:val="00397671"/>
    <w:rsid w:val="003A01CA"/>
    <w:rsid w:val="003A0818"/>
    <w:rsid w:val="003A0A08"/>
    <w:rsid w:val="003A110E"/>
    <w:rsid w:val="003A1499"/>
    <w:rsid w:val="003A2DF3"/>
    <w:rsid w:val="003A4608"/>
    <w:rsid w:val="003A5F87"/>
    <w:rsid w:val="003A6244"/>
    <w:rsid w:val="003A6D4B"/>
    <w:rsid w:val="003A7E04"/>
    <w:rsid w:val="003B076C"/>
    <w:rsid w:val="003B09D5"/>
    <w:rsid w:val="003B0F72"/>
    <w:rsid w:val="003B1352"/>
    <w:rsid w:val="003B206A"/>
    <w:rsid w:val="003B2A7F"/>
    <w:rsid w:val="003B3560"/>
    <w:rsid w:val="003B466D"/>
    <w:rsid w:val="003B743E"/>
    <w:rsid w:val="003B7CEF"/>
    <w:rsid w:val="003C1B3A"/>
    <w:rsid w:val="003C340D"/>
    <w:rsid w:val="003C44E2"/>
    <w:rsid w:val="003C53D2"/>
    <w:rsid w:val="003C761F"/>
    <w:rsid w:val="003C7B76"/>
    <w:rsid w:val="003D2CE4"/>
    <w:rsid w:val="003D3C42"/>
    <w:rsid w:val="003D40FE"/>
    <w:rsid w:val="003D4535"/>
    <w:rsid w:val="003D647B"/>
    <w:rsid w:val="003D6C1C"/>
    <w:rsid w:val="003E2D62"/>
    <w:rsid w:val="003F08DC"/>
    <w:rsid w:val="003F09E3"/>
    <w:rsid w:val="003F1421"/>
    <w:rsid w:val="003F1777"/>
    <w:rsid w:val="003F4364"/>
    <w:rsid w:val="003F436A"/>
    <w:rsid w:val="003F54D9"/>
    <w:rsid w:val="003F780C"/>
    <w:rsid w:val="004000E2"/>
    <w:rsid w:val="00400460"/>
    <w:rsid w:val="00400A93"/>
    <w:rsid w:val="00400E4D"/>
    <w:rsid w:val="00401D3C"/>
    <w:rsid w:val="00402440"/>
    <w:rsid w:val="00405466"/>
    <w:rsid w:val="00405A6C"/>
    <w:rsid w:val="004060AF"/>
    <w:rsid w:val="0040714F"/>
    <w:rsid w:val="00407887"/>
    <w:rsid w:val="00410438"/>
    <w:rsid w:val="00410857"/>
    <w:rsid w:val="004211C1"/>
    <w:rsid w:val="00421533"/>
    <w:rsid w:val="00421782"/>
    <w:rsid w:val="004219A3"/>
    <w:rsid w:val="00422660"/>
    <w:rsid w:val="00423B3E"/>
    <w:rsid w:val="0042530A"/>
    <w:rsid w:val="00425F83"/>
    <w:rsid w:val="00426E51"/>
    <w:rsid w:val="004275D8"/>
    <w:rsid w:val="00427776"/>
    <w:rsid w:val="00430070"/>
    <w:rsid w:val="00431D17"/>
    <w:rsid w:val="004321F7"/>
    <w:rsid w:val="004326E1"/>
    <w:rsid w:val="0043395E"/>
    <w:rsid w:val="00434343"/>
    <w:rsid w:val="00434E7A"/>
    <w:rsid w:val="0043658D"/>
    <w:rsid w:val="0043665A"/>
    <w:rsid w:val="00436768"/>
    <w:rsid w:val="0043691E"/>
    <w:rsid w:val="004370AA"/>
    <w:rsid w:val="00437DA6"/>
    <w:rsid w:val="00440E79"/>
    <w:rsid w:val="004437B9"/>
    <w:rsid w:val="0044488D"/>
    <w:rsid w:val="00445A3B"/>
    <w:rsid w:val="00445C83"/>
    <w:rsid w:val="0044711C"/>
    <w:rsid w:val="004473C7"/>
    <w:rsid w:val="00447C87"/>
    <w:rsid w:val="00450068"/>
    <w:rsid w:val="00451CF9"/>
    <w:rsid w:val="00452F76"/>
    <w:rsid w:val="00453793"/>
    <w:rsid w:val="004538E5"/>
    <w:rsid w:val="00453C2D"/>
    <w:rsid w:val="00454F65"/>
    <w:rsid w:val="004557D7"/>
    <w:rsid w:val="00456DF8"/>
    <w:rsid w:val="0045759B"/>
    <w:rsid w:val="00460269"/>
    <w:rsid w:val="0046159C"/>
    <w:rsid w:val="00462120"/>
    <w:rsid w:val="00463732"/>
    <w:rsid w:val="0047058C"/>
    <w:rsid w:val="0047073C"/>
    <w:rsid w:val="00470840"/>
    <w:rsid w:val="00473DCD"/>
    <w:rsid w:val="004743AE"/>
    <w:rsid w:val="00475981"/>
    <w:rsid w:val="00475C32"/>
    <w:rsid w:val="00476F4D"/>
    <w:rsid w:val="00477E17"/>
    <w:rsid w:val="00477E23"/>
    <w:rsid w:val="00480B9C"/>
    <w:rsid w:val="00481D80"/>
    <w:rsid w:val="004832EC"/>
    <w:rsid w:val="004845CC"/>
    <w:rsid w:val="00484FA2"/>
    <w:rsid w:val="004856EE"/>
    <w:rsid w:val="00486973"/>
    <w:rsid w:val="00486A7A"/>
    <w:rsid w:val="00490A30"/>
    <w:rsid w:val="00491BE2"/>
    <w:rsid w:val="0049240F"/>
    <w:rsid w:val="00492B1C"/>
    <w:rsid w:val="004939EC"/>
    <w:rsid w:val="0049453E"/>
    <w:rsid w:val="00494786"/>
    <w:rsid w:val="00494AFF"/>
    <w:rsid w:val="00494F94"/>
    <w:rsid w:val="00497511"/>
    <w:rsid w:val="00497850"/>
    <w:rsid w:val="004A047D"/>
    <w:rsid w:val="004A12C7"/>
    <w:rsid w:val="004A35A4"/>
    <w:rsid w:val="004A5AAA"/>
    <w:rsid w:val="004A62BA"/>
    <w:rsid w:val="004A79F6"/>
    <w:rsid w:val="004B1F86"/>
    <w:rsid w:val="004B37B1"/>
    <w:rsid w:val="004B3DDE"/>
    <w:rsid w:val="004B42D0"/>
    <w:rsid w:val="004B5334"/>
    <w:rsid w:val="004C0464"/>
    <w:rsid w:val="004C0B4E"/>
    <w:rsid w:val="004C0B74"/>
    <w:rsid w:val="004C0C9C"/>
    <w:rsid w:val="004C3950"/>
    <w:rsid w:val="004C5249"/>
    <w:rsid w:val="004C5BD3"/>
    <w:rsid w:val="004C5D27"/>
    <w:rsid w:val="004C6E44"/>
    <w:rsid w:val="004C7961"/>
    <w:rsid w:val="004D0CA8"/>
    <w:rsid w:val="004D240C"/>
    <w:rsid w:val="004D4342"/>
    <w:rsid w:val="004D4A18"/>
    <w:rsid w:val="004D625E"/>
    <w:rsid w:val="004D69F2"/>
    <w:rsid w:val="004D7AD8"/>
    <w:rsid w:val="004D7BEF"/>
    <w:rsid w:val="004E2524"/>
    <w:rsid w:val="004E27F0"/>
    <w:rsid w:val="004E3738"/>
    <w:rsid w:val="004E3CCD"/>
    <w:rsid w:val="004E7B3B"/>
    <w:rsid w:val="004E7C97"/>
    <w:rsid w:val="004F079A"/>
    <w:rsid w:val="004F17CB"/>
    <w:rsid w:val="004F44FC"/>
    <w:rsid w:val="004F4DE8"/>
    <w:rsid w:val="004F5F10"/>
    <w:rsid w:val="004F60ED"/>
    <w:rsid w:val="004F6989"/>
    <w:rsid w:val="004F6BB0"/>
    <w:rsid w:val="004F79E3"/>
    <w:rsid w:val="00501713"/>
    <w:rsid w:val="005039CB"/>
    <w:rsid w:val="005041DE"/>
    <w:rsid w:val="00504A97"/>
    <w:rsid w:val="005077DB"/>
    <w:rsid w:val="00510FC5"/>
    <w:rsid w:val="00511E93"/>
    <w:rsid w:val="0051223E"/>
    <w:rsid w:val="00513624"/>
    <w:rsid w:val="0051501C"/>
    <w:rsid w:val="00517A77"/>
    <w:rsid w:val="00517DB4"/>
    <w:rsid w:val="005203B7"/>
    <w:rsid w:val="00521227"/>
    <w:rsid w:val="005243B2"/>
    <w:rsid w:val="005246A2"/>
    <w:rsid w:val="005246E9"/>
    <w:rsid w:val="005249FD"/>
    <w:rsid w:val="00524C0D"/>
    <w:rsid w:val="00526495"/>
    <w:rsid w:val="0052678F"/>
    <w:rsid w:val="00526868"/>
    <w:rsid w:val="005269F1"/>
    <w:rsid w:val="00527A6F"/>
    <w:rsid w:val="00530E3A"/>
    <w:rsid w:val="00531925"/>
    <w:rsid w:val="005322AF"/>
    <w:rsid w:val="00533A6E"/>
    <w:rsid w:val="00534A96"/>
    <w:rsid w:val="00535291"/>
    <w:rsid w:val="005377C9"/>
    <w:rsid w:val="005378AE"/>
    <w:rsid w:val="00537B40"/>
    <w:rsid w:val="00541FFA"/>
    <w:rsid w:val="00545115"/>
    <w:rsid w:val="00545B91"/>
    <w:rsid w:val="00545ECE"/>
    <w:rsid w:val="005465D9"/>
    <w:rsid w:val="0054794C"/>
    <w:rsid w:val="00547CC6"/>
    <w:rsid w:val="00550C17"/>
    <w:rsid w:val="00551948"/>
    <w:rsid w:val="005529A7"/>
    <w:rsid w:val="00554261"/>
    <w:rsid w:val="005547D4"/>
    <w:rsid w:val="005550DD"/>
    <w:rsid w:val="00557C3B"/>
    <w:rsid w:val="00560225"/>
    <w:rsid w:val="00563B99"/>
    <w:rsid w:val="00563D89"/>
    <w:rsid w:val="00565221"/>
    <w:rsid w:val="005659EC"/>
    <w:rsid w:val="005700B0"/>
    <w:rsid w:val="0057106A"/>
    <w:rsid w:val="00571600"/>
    <w:rsid w:val="00571C68"/>
    <w:rsid w:val="0057401F"/>
    <w:rsid w:val="005740E1"/>
    <w:rsid w:val="00574683"/>
    <w:rsid w:val="00580F0E"/>
    <w:rsid w:val="0058156D"/>
    <w:rsid w:val="00582F5B"/>
    <w:rsid w:val="00582F7A"/>
    <w:rsid w:val="00583558"/>
    <w:rsid w:val="00583E8A"/>
    <w:rsid w:val="005857B2"/>
    <w:rsid w:val="005861E2"/>
    <w:rsid w:val="005869E4"/>
    <w:rsid w:val="00596E4B"/>
    <w:rsid w:val="00596F84"/>
    <w:rsid w:val="005A1D55"/>
    <w:rsid w:val="005A1D78"/>
    <w:rsid w:val="005A321A"/>
    <w:rsid w:val="005A3343"/>
    <w:rsid w:val="005A4C22"/>
    <w:rsid w:val="005A5863"/>
    <w:rsid w:val="005B03A8"/>
    <w:rsid w:val="005B26BA"/>
    <w:rsid w:val="005B408C"/>
    <w:rsid w:val="005B5268"/>
    <w:rsid w:val="005B564C"/>
    <w:rsid w:val="005C03A5"/>
    <w:rsid w:val="005C06EE"/>
    <w:rsid w:val="005C0A8E"/>
    <w:rsid w:val="005C0F59"/>
    <w:rsid w:val="005C16A4"/>
    <w:rsid w:val="005C2CF4"/>
    <w:rsid w:val="005C4FB9"/>
    <w:rsid w:val="005C5DA3"/>
    <w:rsid w:val="005C7712"/>
    <w:rsid w:val="005C7CFB"/>
    <w:rsid w:val="005C7E7F"/>
    <w:rsid w:val="005D00A1"/>
    <w:rsid w:val="005D077F"/>
    <w:rsid w:val="005D1A52"/>
    <w:rsid w:val="005D1AAF"/>
    <w:rsid w:val="005D1D2D"/>
    <w:rsid w:val="005D2112"/>
    <w:rsid w:val="005D23BB"/>
    <w:rsid w:val="005D251A"/>
    <w:rsid w:val="005D54F5"/>
    <w:rsid w:val="005D5A51"/>
    <w:rsid w:val="005D7B3F"/>
    <w:rsid w:val="005E0565"/>
    <w:rsid w:val="005E0B4A"/>
    <w:rsid w:val="005E12B5"/>
    <w:rsid w:val="005E26D8"/>
    <w:rsid w:val="005E2DAE"/>
    <w:rsid w:val="005E48CE"/>
    <w:rsid w:val="005E4B53"/>
    <w:rsid w:val="005E67FF"/>
    <w:rsid w:val="005F1DD9"/>
    <w:rsid w:val="005F24E5"/>
    <w:rsid w:val="005F2BD0"/>
    <w:rsid w:val="005F2C20"/>
    <w:rsid w:val="005F3D78"/>
    <w:rsid w:val="005F4308"/>
    <w:rsid w:val="006024C2"/>
    <w:rsid w:val="00603BEE"/>
    <w:rsid w:val="00604656"/>
    <w:rsid w:val="0060580B"/>
    <w:rsid w:val="00605FAA"/>
    <w:rsid w:val="006067E1"/>
    <w:rsid w:val="00606833"/>
    <w:rsid w:val="0061123C"/>
    <w:rsid w:val="0061185B"/>
    <w:rsid w:val="00611894"/>
    <w:rsid w:val="006125C5"/>
    <w:rsid w:val="00614077"/>
    <w:rsid w:val="006151B9"/>
    <w:rsid w:val="00616383"/>
    <w:rsid w:val="00617146"/>
    <w:rsid w:val="00617C5D"/>
    <w:rsid w:val="00620259"/>
    <w:rsid w:val="00620B5B"/>
    <w:rsid w:val="006228DC"/>
    <w:rsid w:val="00622AE2"/>
    <w:rsid w:val="006231DD"/>
    <w:rsid w:val="006237C1"/>
    <w:rsid w:val="00624EC8"/>
    <w:rsid w:val="00625716"/>
    <w:rsid w:val="00626076"/>
    <w:rsid w:val="00630D45"/>
    <w:rsid w:val="006319E0"/>
    <w:rsid w:val="00633787"/>
    <w:rsid w:val="00633E79"/>
    <w:rsid w:val="00635640"/>
    <w:rsid w:val="006373B9"/>
    <w:rsid w:val="00641B74"/>
    <w:rsid w:val="00642EC1"/>
    <w:rsid w:val="00643567"/>
    <w:rsid w:val="00643A1C"/>
    <w:rsid w:val="00644A43"/>
    <w:rsid w:val="00644D64"/>
    <w:rsid w:val="00645C59"/>
    <w:rsid w:val="00647394"/>
    <w:rsid w:val="00650285"/>
    <w:rsid w:val="00650FC3"/>
    <w:rsid w:val="00651683"/>
    <w:rsid w:val="00653B2B"/>
    <w:rsid w:val="00655D8E"/>
    <w:rsid w:val="0065684D"/>
    <w:rsid w:val="00657231"/>
    <w:rsid w:val="0066255D"/>
    <w:rsid w:val="00662B13"/>
    <w:rsid w:val="00662E06"/>
    <w:rsid w:val="00663376"/>
    <w:rsid w:val="006663CC"/>
    <w:rsid w:val="0067031F"/>
    <w:rsid w:val="00670E2E"/>
    <w:rsid w:val="00672437"/>
    <w:rsid w:val="00672A86"/>
    <w:rsid w:val="00673655"/>
    <w:rsid w:val="00673F29"/>
    <w:rsid w:val="00674711"/>
    <w:rsid w:val="00676579"/>
    <w:rsid w:val="00676917"/>
    <w:rsid w:val="00676D5C"/>
    <w:rsid w:val="00677450"/>
    <w:rsid w:val="0067798E"/>
    <w:rsid w:val="00680BAF"/>
    <w:rsid w:val="00681A98"/>
    <w:rsid w:val="00685108"/>
    <w:rsid w:val="006857D2"/>
    <w:rsid w:val="00687934"/>
    <w:rsid w:val="00687A6B"/>
    <w:rsid w:val="00692C3C"/>
    <w:rsid w:val="00693ABB"/>
    <w:rsid w:val="00694B2B"/>
    <w:rsid w:val="00695C7B"/>
    <w:rsid w:val="006A0638"/>
    <w:rsid w:val="006A2234"/>
    <w:rsid w:val="006A2B4C"/>
    <w:rsid w:val="006A34FE"/>
    <w:rsid w:val="006A3D11"/>
    <w:rsid w:val="006A50D1"/>
    <w:rsid w:val="006A5714"/>
    <w:rsid w:val="006B2F24"/>
    <w:rsid w:val="006B3A69"/>
    <w:rsid w:val="006B41F8"/>
    <w:rsid w:val="006B5488"/>
    <w:rsid w:val="006B6E6F"/>
    <w:rsid w:val="006B7F3A"/>
    <w:rsid w:val="006C08A7"/>
    <w:rsid w:val="006C0A47"/>
    <w:rsid w:val="006C1357"/>
    <w:rsid w:val="006C239A"/>
    <w:rsid w:val="006C27C8"/>
    <w:rsid w:val="006C31DF"/>
    <w:rsid w:val="006C3AEF"/>
    <w:rsid w:val="006C3CC6"/>
    <w:rsid w:val="006C3D13"/>
    <w:rsid w:val="006C42D4"/>
    <w:rsid w:val="006C5ABF"/>
    <w:rsid w:val="006C5F11"/>
    <w:rsid w:val="006C71F4"/>
    <w:rsid w:val="006C77E2"/>
    <w:rsid w:val="006D0ACE"/>
    <w:rsid w:val="006D1838"/>
    <w:rsid w:val="006D1D4D"/>
    <w:rsid w:val="006D29C6"/>
    <w:rsid w:val="006D4923"/>
    <w:rsid w:val="006D51F5"/>
    <w:rsid w:val="006D5C2A"/>
    <w:rsid w:val="006D61D3"/>
    <w:rsid w:val="006D764E"/>
    <w:rsid w:val="006E0132"/>
    <w:rsid w:val="006E14EC"/>
    <w:rsid w:val="006E1C07"/>
    <w:rsid w:val="006E1E44"/>
    <w:rsid w:val="006E3D10"/>
    <w:rsid w:val="006E59F6"/>
    <w:rsid w:val="006E5BF4"/>
    <w:rsid w:val="006E604A"/>
    <w:rsid w:val="006E61E7"/>
    <w:rsid w:val="006E6E2B"/>
    <w:rsid w:val="006E7E30"/>
    <w:rsid w:val="006F1C10"/>
    <w:rsid w:val="006F3BEC"/>
    <w:rsid w:val="006F49BD"/>
    <w:rsid w:val="006F4D05"/>
    <w:rsid w:val="006F62C1"/>
    <w:rsid w:val="006F643B"/>
    <w:rsid w:val="0070066E"/>
    <w:rsid w:val="0070146D"/>
    <w:rsid w:val="00701D9D"/>
    <w:rsid w:val="00701F0F"/>
    <w:rsid w:val="0070352A"/>
    <w:rsid w:val="007035E1"/>
    <w:rsid w:val="007041C1"/>
    <w:rsid w:val="00706CAE"/>
    <w:rsid w:val="007074C9"/>
    <w:rsid w:val="007115FA"/>
    <w:rsid w:val="00711686"/>
    <w:rsid w:val="00711890"/>
    <w:rsid w:val="007134F9"/>
    <w:rsid w:val="007150C3"/>
    <w:rsid w:val="00716893"/>
    <w:rsid w:val="0072020D"/>
    <w:rsid w:val="007203A7"/>
    <w:rsid w:val="00721217"/>
    <w:rsid w:val="00721ADE"/>
    <w:rsid w:val="00722589"/>
    <w:rsid w:val="00727471"/>
    <w:rsid w:val="0072749F"/>
    <w:rsid w:val="00727C8C"/>
    <w:rsid w:val="007300AA"/>
    <w:rsid w:val="00730B95"/>
    <w:rsid w:val="00730BED"/>
    <w:rsid w:val="007312F2"/>
    <w:rsid w:val="007318C6"/>
    <w:rsid w:val="007318FF"/>
    <w:rsid w:val="00734034"/>
    <w:rsid w:val="0073546D"/>
    <w:rsid w:val="007355BA"/>
    <w:rsid w:val="00735FA1"/>
    <w:rsid w:val="00736552"/>
    <w:rsid w:val="00736A1C"/>
    <w:rsid w:val="007428F4"/>
    <w:rsid w:val="0074306B"/>
    <w:rsid w:val="0074448D"/>
    <w:rsid w:val="00744E14"/>
    <w:rsid w:val="00745EC4"/>
    <w:rsid w:val="007472C7"/>
    <w:rsid w:val="0075161A"/>
    <w:rsid w:val="00752EBD"/>
    <w:rsid w:val="007538FE"/>
    <w:rsid w:val="0075398C"/>
    <w:rsid w:val="00754EE4"/>
    <w:rsid w:val="00755C07"/>
    <w:rsid w:val="00755DE5"/>
    <w:rsid w:val="007567A7"/>
    <w:rsid w:val="007611E4"/>
    <w:rsid w:val="00762EDF"/>
    <w:rsid w:val="00764D8A"/>
    <w:rsid w:val="00765349"/>
    <w:rsid w:val="00765475"/>
    <w:rsid w:val="007655DB"/>
    <w:rsid w:val="0076610C"/>
    <w:rsid w:val="0076635A"/>
    <w:rsid w:val="007707B5"/>
    <w:rsid w:val="007721C3"/>
    <w:rsid w:val="007725BD"/>
    <w:rsid w:val="007729CC"/>
    <w:rsid w:val="00775AA2"/>
    <w:rsid w:val="00776195"/>
    <w:rsid w:val="007761B8"/>
    <w:rsid w:val="00776474"/>
    <w:rsid w:val="00780CE3"/>
    <w:rsid w:val="007817DE"/>
    <w:rsid w:val="00782B23"/>
    <w:rsid w:val="0078393E"/>
    <w:rsid w:val="007857D8"/>
    <w:rsid w:val="00785A73"/>
    <w:rsid w:val="00791293"/>
    <w:rsid w:val="00791DF2"/>
    <w:rsid w:val="00793B52"/>
    <w:rsid w:val="0079470E"/>
    <w:rsid w:val="00794A41"/>
    <w:rsid w:val="00796B74"/>
    <w:rsid w:val="007A06A6"/>
    <w:rsid w:val="007A1081"/>
    <w:rsid w:val="007A1246"/>
    <w:rsid w:val="007A14CC"/>
    <w:rsid w:val="007A2503"/>
    <w:rsid w:val="007A419D"/>
    <w:rsid w:val="007A4E02"/>
    <w:rsid w:val="007A5634"/>
    <w:rsid w:val="007B2F32"/>
    <w:rsid w:val="007B3EAB"/>
    <w:rsid w:val="007B4B20"/>
    <w:rsid w:val="007B51A0"/>
    <w:rsid w:val="007B6248"/>
    <w:rsid w:val="007B7033"/>
    <w:rsid w:val="007B793F"/>
    <w:rsid w:val="007C0862"/>
    <w:rsid w:val="007C54D5"/>
    <w:rsid w:val="007C608E"/>
    <w:rsid w:val="007C63FD"/>
    <w:rsid w:val="007D2623"/>
    <w:rsid w:val="007D2781"/>
    <w:rsid w:val="007D2C0F"/>
    <w:rsid w:val="007D35C1"/>
    <w:rsid w:val="007D36E5"/>
    <w:rsid w:val="007D3C1D"/>
    <w:rsid w:val="007D451F"/>
    <w:rsid w:val="007D4DBF"/>
    <w:rsid w:val="007D4EF6"/>
    <w:rsid w:val="007D655F"/>
    <w:rsid w:val="007D6F85"/>
    <w:rsid w:val="007E04C2"/>
    <w:rsid w:val="007E1B8F"/>
    <w:rsid w:val="007E3838"/>
    <w:rsid w:val="007E6E14"/>
    <w:rsid w:val="007E7D1E"/>
    <w:rsid w:val="007F224D"/>
    <w:rsid w:val="007F261A"/>
    <w:rsid w:val="007F2DB4"/>
    <w:rsid w:val="007F45B3"/>
    <w:rsid w:val="007F5B42"/>
    <w:rsid w:val="007F683E"/>
    <w:rsid w:val="007F7E3B"/>
    <w:rsid w:val="0080086E"/>
    <w:rsid w:val="00801CED"/>
    <w:rsid w:val="0080266F"/>
    <w:rsid w:val="00802844"/>
    <w:rsid w:val="00802E02"/>
    <w:rsid w:val="00803900"/>
    <w:rsid w:val="00803B07"/>
    <w:rsid w:val="008066F7"/>
    <w:rsid w:val="00806760"/>
    <w:rsid w:val="00806816"/>
    <w:rsid w:val="008073F6"/>
    <w:rsid w:val="00811162"/>
    <w:rsid w:val="0081129C"/>
    <w:rsid w:val="008119B9"/>
    <w:rsid w:val="00811D87"/>
    <w:rsid w:val="00822B98"/>
    <w:rsid w:val="00822F83"/>
    <w:rsid w:val="00823776"/>
    <w:rsid w:val="00823B96"/>
    <w:rsid w:val="008254E5"/>
    <w:rsid w:val="008271DA"/>
    <w:rsid w:val="00831967"/>
    <w:rsid w:val="008325AC"/>
    <w:rsid w:val="00836431"/>
    <w:rsid w:val="00837447"/>
    <w:rsid w:val="008421F8"/>
    <w:rsid w:val="008424AD"/>
    <w:rsid w:val="00844264"/>
    <w:rsid w:val="00844800"/>
    <w:rsid w:val="00844B36"/>
    <w:rsid w:val="00844D6F"/>
    <w:rsid w:val="0084567E"/>
    <w:rsid w:val="008470AA"/>
    <w:rsid w:val="0085008B"/>
    <w:rsid w:val="00850216"/>
    <w:rsid w:val="00851DBB"/>
    <w:rsid w:val="0085294F"/>
    <w:rsid w:val="008543CF"/>
    <w:rsid w:val="00854979"/>
    <w:rsid w:val="00854DEB"/>
    <w:rsid w:val="008554FE"/>
    <w:rsid w:val="00860BDD"/>
    <w:rsid w:val="008624D4"/>
    <w:rsid w:val="008632AF"/>
    <w:rsid w:val="0086341E"/>
    <w:rsid w:val="00863EB7"/>
    <w:rsid w:val="00863FF2"/>
    <w:rsid w:val="00865088"/>
    <w:rsid w:val="008651D0"/>
    <w:rsid w:val="008745C7"/>
    <w:rsid w:val="0087722E"/>
    <w:rsid w:val="00880055"/>
    <w:rsid w:val="00881C22"/>
    <w:rsid w:val="00884659"/>
    <w:rsid w:val="00891366"/>
    <w:rsid w:val="00893080"/>
    <w:rsid w:val="00893461"/>
    <w:rsid w:val="00893681"/>
    <w:rsid w:val="00894311"/>
    <w:rsid w:val="00894465"/>
    <w:rsid w:val="00894972"/>
    <w:rsid w:val="00894CC7"/>
    <w:rsid w:val="008974E4"/>
    <w:rsid w:val="008A0BFD"/>
    <w:rsid w:val="008A2299"/>
    <w:rsid w:val="008A57C0"/>
    <w:rsid w:val="008A6E23"/>
    <w:rsid w:val="008A7726"/>
    <w:rsid w:val="008B0672"/>
    <w:rsid w:val="008B3133"/>
    <w:rsid w:val="008B3B03"/>
    <w:rsid w:val="008B49DD"/>
    <w:rsid w:val="008B523D"/>
    <w:rsid w:val="008B6A67"/>
    <w:rsid w:val="008B7A09"/>
    <w:rsid w:val="008C0E5C"/>
    <w:rsid w:val="008C14E9"/>
    <w:rsid w:val="008C232E"/>
    <w:rsid w:val="008C283F"/>
    <w:rsid w:val="008C2D45"/>
    <w:rsid w:val="008C3227"/>
    <w:rsid w:val="008C4B2A"/>
    <w:rsid w:val="008C535F"/>
    <w:rsid w:val="008C686B"/>
    <w:rsid w:val="008C6883"/>
    <w:rsid w:val="008D0078"/>
    <w:rsid w:val="008D14D0"/>
    <w:rsid w:val="008D37C0"/>
    <w:rsid w:val="008D3BD8"/>
    <w:rsid w:val="008D49C6"/>
    <w:rsid w:val="008D535F"/>
    <w:rsid w:val="008D6AF0"/>
    <w:rsid w:val="008D70F0"/>
    <w:rsid w:val="008E027F"/>
    <w:rsid w:val="008E03E6"/>
    <w:rsid w:val="008E0566"/>
    <w:rsid w:val="008E17C0"/>
    <w:rsid w:val="008E2132"/>
    <w:rsid w:val="008E3322"/>
    <w:rsid w:val="008E41BA"/>
    <w:rsid w:val="008E4D95"/>
    <w:rsid w:val="008E6706"/>
    <w:rsid w:val="008E6B0A"/>
    <w:rsid w:val="008E721F"/>
    <w:rsid w:val="008F143B"/>
    <w:rsid w:val="008F6627"/>
    <w:rsid w:val="00900B0C"/>
    <w:rsid w:val="00900B17"/>
    <w:rsid w:val="00902F70"/>
    <w:rsid w:val="00903CA4"/>
    <w:rsid w:val="00903EAF"/>
    <w:rsid w:val="009051A6"/>
    <w:rsid w:val="009063BC"/>
    <w:rsid w:val="00907772"/>
    <w:rsid w:val="009078E6"/>
    <w:rsid w:val="00907B5D"/>
    <w:rsid w:val="00910AF4"/>
    <w:rsid w:val="00912678"/>
    <w:rsid w:val="009132DE"/>
    <w:rsid w:val="009151CB"/>
    <w:rsid w:val="0091554B"/>
    <w:rsid w:val="009170F1"/>
    <w:rsid w:val="00920711"/>
    <w:rsid w:val="009251AC"/>
    <w:rsid w:val="0092521D"/>
    <w:rsid w:val="009259C3"/>
    <w:rsid w:val="0092627E"/>
    <w:rsid w:val="00927EEE"/>
    <w:rsid w:val="0093039B"/>
    <w:rsid w:val="00930704"/>
    <w:rsid w:val="00931A64"/>
    <w:rsid w:val="009340A8"/>
    <w:rsid w:val="00934F64"/>
    <w:rsid w:val="00934F8F"/>
    <w:rsid w:val="00936482"/>
    <w:rsid w:val="00936C4D"/>
    <w:rsid w:val="00937262"/>
    <w:rsid w:val="00937356"/>
    <w:rsid w:val="0094035F"/>
    <w:rsid w:val="009403E4"/>
    <w:rsid w:val="009428A7"/>
    <w:rsid w:val="00943653"/>
    <w:rsid w:val="009460BF"/>
    <w:rsid w:val="00947E7F"/>
    <w:rsid w:val="009515E2"/>
    <w:rsid w:val="00953691"/>
    <w:rsid w:val="00953F90"/>
    <w:rsid w:val="009547E1"/>
    <w:rsid w:val="00956E8F"/>
    <w:rsid w:val="00957FB8"/>
    <w:rsid w:val="00960614"/>
    <w:rsid w:val="00960AD8"/>
    <w:rsid w:val="00961223"/>
    <w:rsid w:val="00962A19"/>
    <w:rsid w:val="00963AA1"/>
    <w:rsid w:val="009654D2"/>
    <w:rsid w:val="00965D12"/>
    <w:rsid w:val="00965F13"/>
    <w:rsid w:val="009715F8"/>
    <w:rsid w:val="00971E0F"/>
    <w:rsid w:val="0097209D"/>
    <w:rsid w:val="00975312"/>
    <w:rsid w:val="00981D15"/>
    <w:rsid w:val="00982059"/>
    <w:rsid w:val="009823CA"/>
    <w:rsid w:val="00982761"/>
    <w:rsid w:val="0098333D"/>
    <w:rsid w:val="00985173"/>
    <w:rsid w:val="0098569E"/>
    <w:rsid w:val="00990331"/>
    <w:rsid w:val="00991623"/>
    <w:rsid w:val="00991794"/>
    <w:rsid w:val="0099682D"/>
    <w:rsid w:val="00996A6A"/>
    <w:rsid w:val="00997AF0"/>
    <w:rsid w:val="009A0503"/>
    <w:rsid w:val="009A0826"/>
    <w:rsid w:val="009A1587"/>
    <w:rsid w:val="009A1A4A"/>
    <w:rsid w:val="009A220A"/>
    <w:rsid w:val="009A3946"/>
    <w:rsid w:val="009A404B"/>
    <w:rsid w:val="009A4E13"/>
    <w:rsid w:val="009A5884"/>
    <w:rsid w:val="009A6F0E"/>
    <w:rsid w:val="009B0F74"/>
    <w:rsid w:val="009B1026"/>
    <w:rsid w:val="009B1029"/>
    <w:rsid w:val="009B64BB"/>
    <w:rsid w:val="009B6910"/>
    <w:rsid w:val="009B7867"/>
    <w:rsid w:val="009C0DA0"/>
    <w:rsid w:val="009C7257"/>
    <w:rsid w:val="009C7959"/>
    <w:rsid w:val="009D14E9"/>
    <w:rsid w:val="009D234F"/>
    <w:rsid w:val="009D3A63"/>
    <w:rsid w:val="009D4446"/>
    <w:rsid w:val="009D4EE0"/>
    <w:rsid w:val="009D5029"/>
    <w:rsid w:val="009D53C1"/>
    <w:rsid w:val="009D5B8C"/>
    <w:rsid w:val="009D7AA9"/>
    <w:rsid w:val="009E19AA"/>
    <w:rsid w:val="009E1FEB"/>
    <w:rsid w:val="009E2B40"/>
    <w:rsid w:val="009E34C9"/>
    <w:rsid w:val="009E5F41"/>
    <w:rsid w:val="009E66D5"/>
    <w:rsid w:val="009E6B84"/>
    <w:rsid w:val="009E6CEB"/>
    <w:rsid w:val="009F1518"/>
    <w:rsid w:val="009F2609"/>
    <w:rsid w:val="009F2ECE"/>
    <w:rsid w:val="009F4245"/>
    <w:rsid w:val="009F4857"/>
    <w:rsid w:val="009F4E4E"/>
    <w:rsid w:val="009F7DC8"/>
    <w:rsid w:val="00A00188"/>
    <w:rsid w:val="00A00254"/>
    <w:rsid w:val="00A003EE"/>
    <w:rsid w:val="00A00F14"/>
    <w:rsid w:val="00A011A6"/>
    <w:rsid w:val="00A01F01"/>
    <w:rsid w:val="00A02190"/>
    <w:rsid w:val="00A02C6A"/>
    <w:rsid w:val="00A031C8"/>
    <w:rsid w:val="00A03410"/>
    <w:rsid w:val="00A036E6"/>
    <w:rsid w:val="00A1052D"/>
    <w:rsid w:val="00A10F01"/>
    <w:rsid w:val="00A116DF"/>
    <w:rsid w:val="00A12456"/>
    <w:rsid w:val="00A131E0"/>
    <w:rsid w:val="00A13CAD"/>
    <w:rsid w:val="00A150EE"/>
    <w:rsid w:val="00A162DD"/>
    <w:rsid w:val="00A1726A"/>
    <w:rsid w:val="00A24BB7"/>
    <w:rsid w:val="00A256AB"/>
    <w:rsid w:val="00A27F76"/>
    <w:rsid w:val="00A3111D"/>
    <w:rsid w:val="00A31872"/>
    <w:rsid w:val="00A31D15"/>
    <w:rsid w:val="00A3298A"/>
    <w:rsid w:val="00A32F33"/>
    <w:rsid w:val="00A333A4"/>
    <w:rsid w:val="00A36468"/>
    <w:rsid w:val="00A36BAA"/>
    <w:rsid w:val="00A4040D"/>
    <w:rsid w:val="00A4045C"/>
    <w:rsid w:val="00A40CFF"/>
    <w:rsid w:val="00A40FCA"/>
    <w:rsid w:val="00A43E59"/>
    <w:rsid w:val="00A44277"/>
    <w:rsid w:val="00A47F63"/>
    <w:rsid w:val="00A5022A"/>
    <w:rsid w:val="00A51151"/>
    <w:rsid w:val="00A5326C"/>
    <w:rsid w:val="00A572B8"/>
    <w:rsid w:val="00A60074"/>
    <w:rsid w:val="00A6083B"/>
    <w:rsid w:val="00A609EB"/>
    <w:rsid w:val="00A612FE"/>
    <w:rsid w:val="00A61755"/>
    <w:rsid w:val="00A62054"/>
    <w:rsid w:val="00A64474"/>
    <w:rsid w:val="00A64961"/>
    <w:rsid w:val="00A7077C"/>
    <w:rsid w:val="00A7402D"/>
    <w:rsid w:val="00A743BF"/>
    <w:rsid w:val="00A757F5"/>
    <w:rsid w:val="00A84744"/>
    <w:rsid w:val="00A8524C"/>
    <w:rsid w:val="00A858A1"/>
    <w:rsid w:val="00A86271"/>
    <w:rsid w:val="00A870A1"/>
    <w:rsid w:val="00A873B7"/>
    <w:rsid w:val="00A900C6"/>
    <w:rsid w:val="00A91160"/>
    <w:rsid w:val="00A91343"/>
    <w:rsid w:val="00A92043"/>
    <w:rsid w:val="00A925A6"/>
    <w:rsid w:val="00A928A0"/>
    <w:rsid w:val="00A937A1"/>
    <w:rsid w:val="00A93F11"/>
    <w:rsid w:val="00A94C80"/>
    <w:rsid w:val="00A95BEE"/>
    <w:rsid w:val="00A97274"/>
    <w:rsid w:val="00A9764F"/>
    <w:rsid w:val="00AA16E1"/>
    <w:rsid w:val="00AA1711"/>
    <w:rsid w:val="00AA1AF9"/>
    <w:rsid w:val="00AA31A0"/>
    <w:rsid w:val="00AA5B5C"/>
    <w:rsid w:val="00AA5D27"/>
    <w:rsid w:val="00AA7220"/>
    <w:rsid w:val="00AB194B"/>
    <w:rsid w:val="00AB2360"/>
    <w:rsid w:val="00AB2F05"/>
    <w:rsid w:val="00AB68A2"/>
    <w:rsid w:val="00AB6CAB"/>
    <w:rsid w:val="00AB7960"/>
    <w:rsid w:val="00AB7F76"/>
    <w:rsid w:val="00AC1E1B"/>
    <w:rsid w:val="00AC206A"/>
    <w:rsid w:val="00AC63C7"/>
    <w:rsid w:val="00AC76B6"/>
    <w:rsid w:val="00AC7A2D"/>
    <w:rsid w:val="00AD11D4"/>
    <w:rsid w:val="00AD19F7"/>
    <w:rsid w:val="00AD2E05"/>
    <w:rsid w:val="00AD6768"/>
    <w:rsid w:val="00AD6E8A"/>
    <w:rsid w:val="00AE027A"/>
    <w:rsid w:val="00AE178C"/>
    <w:rsid w:val="00AE25B1"/>
    <w:rsid w:val="00AE35B4"/>
    <w:rsid w:val="00AE432C"/>
    <w:rsid w:val="00AE4456"/>
    <w:rsid w:val="00AE4BB2"/>
    <w:rsid w:val="00AF27A6"/>
    <w:rsid w:val="00AF40CA"/>
    <w:rsid w:val="00AF498F"/>
    <w:rsid w:val="00AF62D1"/>
    <w:rsid w:val="00AF74C7"/>
    <w:rsid w:val="00B00172"/>
    <w:rsid w:val="00B00EF6"/>
    <w:rsid w:val="00B01717"/>
    <w:rsid w:val="00B0325C"/>
    <w:rsid w:val="00B045E5"/>
    <w:rsid w:val="00B053C9"/>
    <w:rsid w:val="00B149BC"/>
    <w:rsid w:val="00B14FD6"/>
    <w:rsid w:val="00B152AE"/>
    <w:rsid w:val="00B217F6"/>
    <w:rsid w:val="00B2312E"/>
    <w:rsid w:val="00B240A9"/>
    <w:rsid w:val="00B2436F"/>
    <w:rsid w:val="00B25683"/>
    <w:rsid w:val="00B25762"/>
    <w:rsid w:val="00B2598F"/>
    <w:rsid w:val="00B25DC2"/>
    <w:rsid w:val="00B267CB"/>
    <w:rsid w:val="00B27B76"/>
    <w:rsid w:val="00B33075"/>
    <w:rsid w:val="00B338C2"/>
    <w:rsid w:val="00B35AD4"/>
    <w:rsid w:val="00B35C3B"/>
    <w:rsid w:val="00B36780"/>
    <w:rsid w:val="00B36837"/>
    <w:rsid w:val="00B375BF"/>
    <w:rsid w:val="00B37BE4"/>
    <w:rsid w:val="00B40F72"/>
    <w:rsid w:val="00B40F7C"/>
    <w:rsid w:val="00B41EC3"/>
    <w:rsid w:val="00B4239A"/>
    <w:rsid w:val="00B4355A"/>
    <w:rsid w:val="00B43986"/>
    <w:rsid w:val="00B45871"/>
    <w:rsid w:val="00B458DB"/>
    <w:rsid w:val="00B46085"/>
    <w:rsid w:val="00B46368"/>
    <w:rsid w:val="00B46B68"/>
    <w:rsid w:val="00B51CFB"/>
    <w:rsid w:val="00B52AF4"/>
    <w:rsid w:val="00B52EB4"/>
    <w:rsid w:val="00B54383"/>
    <w:rsid w:val="00B54D90"/>
    <w:rsid w:val="00B556AB"/>
    <w:rsid w:val="00B55807"/>
    <w:rsid w:val="00B570D4"/>
    <w:rsid w:val="00B6076A"/>
    <w:rsid w:val="00B60D50"/>
    <w:rsid w:val="00B612CF"/>
    <w:rsid w:val="00B61A57"/>
    <w:rsid w:val="00B622B9"/>
    <w:rsid w:val="00B63AE6"/>
    <w:rsid w:val="00B6412E"/>
    <w:rsid w:val="00B64342"/>
    <w:rsid w:val="00B663E1"/>
    <w:rsid w:val="00B665A6"/>
    <w:rsid w:val="00B67033"/>
    <w:rsid w:val="00B70B2A"/>
    <w:rsid w:val="00B71652"/>
    <w:rsid w:val="00B7268B"/>
    <w:rsid w:val="00B726BE"/>
    <w:rsid w:val="00B77499"/>
    <w:rsid w:val="00B778D9"/>
    <w:rsid w:val="00B80F4E"/>
    <w:rsid w:val="00B818A2"/>
    <w:rsid w:val="00B84145"/>
    <w:rsid w:val="00B84F0D"/>
    <w:rsid w:val="00B8533F"/>
    <w:rsid w:val="00B86215"/>
    <w:rsid w:val="00B875B2"/>
    <w:rsid w:val="00B879F6"/>
    <w:rsid w:val="00B90398"/>
    <w:rsid w:val="00B90BCB"/>
    <w:rsid w:val="00B90DAB"/>
    <w:rsid w:val="00B92E6D"/>
    <w:rsid w:val="00B93310"/>
    <w:rsid w:val="00B93C82"/>
    <w:rsid w:val="00B94CCB"/>
    <w:rsid w:val="00B958A6"/>
    <w:rsid w:val="00B95EBE"/>
    <w:rsid w:val="00B97E16"/>
    <w:rsid w:val="00BA0351"/>
    <w:rsid w:val="00BA0660"/>
    <w:rsid w:val="00BA0756"/>
    <w:rsid w:val="00BA0A6A"/>
    <w:rsid w:val="00BA0AB5"/>
    <w:rsid w:val="00BA135D"/>
    <w:rsid w:val="00BA1B05"/>
    <w:rsid w:val="00BA1CD8"/>
    <w:rsid w:val="00BA3AE8"/>
    <w:rsid w:val="00BA47FD"/>
    <w:rsid w:val="00BA5F62"/>
    <w:rsid w:val="00BA68FD"/>
    <w:rsid w:val="00BA6A66"/>
    <w:rsid w:val="00BA6ACB"/>
    <w:rsid w:val="00BA7087"/>
    <w:rsid w:val="00BB0AC6"/>
    <w:rsid w:val="00BB19C3"/>
    <w:rsid w:val="00BB29AA"/>
    <w:rsid w:val="00BB2F5A"/>
    <w:rsid w:val="00BB3A41"/>
    <w:rsid w:val="00BB3D4B"/>
    <w:rsid w:val="00BB5FA9"/>
    <w:rsid w:val="00BB6B3B"/>
    <w:rsid w:val="00BC160D"/>
    <w:rsid w:val="00BC1DAA"/>
    <w:rsid w:val="00BC1DF3"/>
    <w:rsid w:val="00BC352B"/>
    <w:rsid w:val="00BC54CB"/>
    <w:rsid w:val="00BC583E"/>
    <w:rsid w:val="00BC5960"/>
    <w:rsid w:val="00BC5EB9"/>
    <w:rsid w:val="00BC6DD7"/>
    <w:rsid w:val="00BD155D"/>
    <w:rsid w:val="00BD1565"/>
    <w:rsid w:val="00BD1BE2"/>
    <w:rsid w:val="00BD25FC"/>
    <w:rsid w:val="00BD2C31"/>
    <w:rsid w:val="00BD34E6"/>
    <w:rsid w:val="00BD3771"/>
    <w:rsid w:val="00BD466F"/>
    <w:rsid w:val="00BD4EB0"/>
    <w:rsid w:val="00BD501D"/>
    <w:rsid w:val="00BD7E73"/>
    <w:rsid w:val="00BE38FF"/>
    <w:rsid w:val="00BE3C65"/>
    <w:rsid w:val="00BE4BBD"/>
    <w:rsid w:val="00BE53F3"/>
    <w:rsid w:val="00BE5D5B"/>
    <w:rsid w:val="00BE7ABE"/>
    <w:rsid w:val="00BE7E53"/>
    <w:rsid w:val="00BF1FC4"/>
    <w:rsid w:val="00BF5058"/>
    <w:rsid w:val="00BF535A"/>
    <w:rsid w:val="00BF54AB"/>
    <w:rsid w:val="00BF5610"/>
    <w:rsid w:val="00BF68CC"/>
    <w:rsid w:val="00BF6DCE"/>
    <w:rsid w:val="00BF7425"/>
    <w:rsid w:val="00BF7DC5"/>
    <w:rsid w:val="00BF7EDC"/>
    <w:rsid w:val="00C01FE7"/>
    <w:rsid w:val="00C03874"/>
    <w:rsid w:val="00C041D8"/>
    <w:rsid w:val="00C04BFC"/>
    <w:rsid w:val="00C04FDD"/>
    <w:rsid w:val="00C0517F"/>
    <w:rsid w:val="00C06418"/>
    <w:rsid w:val="00C06658"/>
    <w:rsid w:val="00C069BF"/>
    <w:rsid w:val="00C15539"/>
    <w:rsid w:val="00C16966"/>
    <w:rsid w:val="00C20FB3"/>
    <w:rsid w:val="00C212CD"/>
    <w:rsid w:val="00C219AB"/>
    <w:rsid w:val="00C21A6F"/>
    <w:rsid w:val="00C25011"/>
    <w:rsid w:val="00C26B55"/>
    <w:rsid w:val="00C27331"/>
    <w:rsid w:val="00C3124C"/>
    <w:rsid w:val="00C31C9C"/>
    <w:rsid w:val="00C32102"/>
    <w:rsid w:val="00C339F7"/>
    <w:rsid w:val="00C33E9D"/>
    <w:rsid w:val="00C34171"/>
    <w:rsid w:val="00C34770"/>
    <w:rsid w:val="00C353D7"/>
    <w:rsid w:val="00C3540B"/>
    <w:rsid w:val="00C37288"/>
    <w:rsid w:val="00C374AC"/>
    <w:rsid w:val="00C416ED"/>
    <w:rsid w:val="00C41847"/>
    <w:rsid w:val="00C42075"/>
    <w:rsid w:val="00C426C7"/>
    <w:rsid w:val="00C43429"/>
    <w:rsid w:val="00C439EA"/>
    <w:rsid w:val="00C4528B"/>
    <w:rsid w:val="00C45C33"/>
    <w:rsid w:val="00C46643"/>
    <w:rsid w:val="00C50EBD"/>
    <w:rsid w:val="00C50EE6"/>
    <w:rsid w:val="00C5122C"/>
    <w:rsid w:val="00C517BE"/>
    <w:rsid w:val="00C51B76"/>
    <w:rsid w:val="00C56FD6"/>
    <w:rsid w:val="00C57256"/>
    <w:rsid w:val="00C601F6"/>
    <w:rsid w:val="00C622F6"/>
    <w:rsid w:val="00C62F3A"/>
    <w:rsid w:val="00C64545"/>
    <w:rsid w:val="00C647D7"/>
    <w:rsid w:val="00C6493A"/>
    <w:rsid w:val="00C66C70"/>
    <w:rsid w:val="00C66ECE"/>
    <w:rsid w:val="00C6756E"/>
    <w:rsid w:val="00C67989"/>
    <w:rsid w:val="00C70E54"/>
    <w:rsid w:val="00C7138C"/>
    <w:rsid w:val="00C718A7"/>
    <w:rsid w:val="00C73B7D"/>
    <w:rsid w:val="00C7584D"/>
    <w:rsid w:val="00C803CC"/>
    <w:rsid w:val="00C807DB"/>
    <w:rsid w:val="00C80AB7"/>
    <w:rsid w:val="00C80B3A"/>
    <w:rsid w:val="00C82F7E"/>
    <w:rsid w:val="00C84573"/>
    <w:rsid w:val="00C84C09"/>
    <w:rsid w:val="00C85D50"/>
    <w:rsid w:val="00C85FA3"/>
    <w:rsid w:val="00C86431"/>
    <w:rsid w:val="00C87209"/>
    <w:rsid w:val="00C877F4"/>
    <w:rsid w:val="00C9079B"/>
    <w:rsid w:val="00C9195F"/>
    <w:rsid w:val="00C94AC9"/>
    <w:rsid w:val="00C950DE"/>
    <w:rsid w:val="00C95DB1"/>
    <w:rsid w:val="00C97141"/>
    <w:rsid w:val="00C97BEF"/>
    <w:rsid w:val="00C97FCA"/>
    <w:rsid w:val="00CA1F30"/>
    <w:rsid w:val="00CA25D2"/>
    <w:rsid w:val="00CA2AF3"/>
    <w:rsid w:val="00CA2D4F"/>
    <w:rsid w:val="00CA2D7D"/>
    <w:rsid w:val="00CA334D"/>
    <w:rsid w:val="00CA3444"/>
    <w:rsid w:val="00CA364A"/>
    <w:rsid w:val="00CA77EC"/>
    <w:rsid w:val="00CA7954"/>
    <w:rsid w:val="00CB0A43"/>
    <w:rsid w:val="00CB0F83"/>
    <w:rsid w:val="00CB1157"/>
    <w:rsid w:val="00CB25D8"/>
    <w:rsid w:val="00CB2B93"/>
    <w:rsid w:val="00CB3049"/>
    <w:rsid w:val="00CB4A10"/>
    <w:rsid w:val="00CB4A84"/>
    <w:rsid w:val="00CB568B"/>
    <w:rsid w:val="00CB5CF9"/>
    <w:rsid w:val="00CB5E00"/>
    <w:rsid w:val="00CB671A"/>
    <w:rsid w:val="00CC13B0"/>
    <w:rsid w:val="00CC4704"/>
    <w:rsid w:val="00CC5233"/>
    <w:rsid w:val="00CC688D"/>
    <w:rsid w:val="00CC69E3"/>
    <w:rsid w:val="00CC6D76"/>
    <w:rsid w:val="00CC738B"/>
    <w:rsid w:val="00CD03D7"/>
    <w:rsid w:val="00CD1C9B"/>
    <w:rsid w:val="00CD2A22"/>
    <w:rsid w:val="00CD612C"/>
    <w:rsid w:val="00CE25A4"/>
    <w:rsid w:val="00CE46E0"/>
    <w:rsid w:val="00CE7C6A"/>
    <w:rsid w:val="00CF3402"/>
    <w:rsid w:val="00CF38A6"/>
    <w:rsid w:val="00CF48AF"/>
    <w:rsid w:val="00CF5CF3"/>
    <w:rsid w:val="00CF6035"/>
    <w:rsid w:val="00CF6331"/>
    <w:rsid w:val="00CF68D3"/>
    <w:rsid w:val="00CF698F"/>
    <w:rsid w:val="00CF7697"/>
    <w:rsid w:val="00D00FB7"/>
    <w:rsid w:val="00D013C8"/>
    <w:rsid w:val="00D01EF5"/>
    <w:rsid w:val="00D02661"/>
    <w:rsid w:val="00D02E09"/>
    <w:rsid w:val="00D0317C"/>
    <w:rsid w:val="00D04975"/>
    <w:rsid w:val="00D0624B"/>
    <w:rsid w:val="00D06C78"/>
    <w:rsid w:val="00D10ADA"/>
    <w:rsid w:val="00D11067"/>
    <w:rsid w:val="00D11301"/>
    <w:rsid w:val="00D1221A"/>
    <w:rsid w:val="00D12A9D"/>
    <w:rsid w:val="00D12FA4"/>
    <w:rsid w:val="00D1468C"/>
    <w:rsid w:val="00D164C9"/>
    <w:rsid w:val="00D17015"/>
    <w:rsid w:val="00D21EB5"/>
    <w:rsid w:val="00D23745"/>
    <w:rsid w:val="00D24547"/>
    <w:rsid w:val="00D24EDC"/>
    <w:rsid w:val="00D2543B"/>
    <w:rsid w:val="00D26671"/>
    <w:rsid w:val="00D2709D"/>
    <w:rsid w:val="00D278C1"/>
    <w:rsid w:val="00D327DB"/>
    <w:rsid w:val="00D32E2E"/>
    <w:rsid w:val="00D339F0"/>
    <w:rsid w:val="00D3609A"/>
    <w:rsid w:val="00D3787C"/>
    <w:rsid w:val="00D37DD7"/>
    <w:rsid w:val="00D40A7D"/>
    <w:rsid w:val="00D40AB5"/>
    <w:rsid w:val="00D40CD7"/>
    <w:rsid w:val="00D4166E"/>
    <w:rsid w:val="00D4215E"/>
    <w:rsid w:val="00D4285B"/>
    <w:rsid w:val="00D448A3"/>
    <w:rsid w:val="00D45AC3"/>
    <w:rsid w:val="00D465C8"/>
    <w:rsid w:val="00D5119F"/>
    <w:rsid w:val="00D52949"/>
    <w:rsid w:val="00D539FC"/>
    <w:rsid w:val="00D53C3D"/>
    <w:rsid w:val="00D54A4B"/>
    <w:rsid w:val="00D6056A"/>
    <w:rsid w:val="00D60B6D"/>
    <w:rsid w:val="00D63B4E"/>
    <w:rsid w:val="00D64DE0"/>
    <w:rsid w:val="00D65093"/>
    <w:rsid w:val="00D655B8"/>
    <w:rsid w:val="00D70432"/>
    <w:rsid w:val="00D70B6F"/>
    <w:rsid w:val="00D72054"/>
    <w:rsid w:val="00D72A1D"/>
    <w:rsid w:val="00D74503"/>
    <w:rsid w:val="00D74D49"/>
    <w:rsid w:val="00D75DBF"/>
    <w:rsid w:val="00D76123"/>
    <w:rsid w:val="00D76472"/>
    <w:rsid w:val="00D77F82"/>
    <w:rsid w:val="00D80BB7"/>
    <w:rsid w:val="00D80E1C"/>
    <w:rsid w:val="00D81092"/>
    <w:rsid w:val="00D82CD3"/>
    <w:rsid w:val="00D83537"/>
    <w:rsid w:val="00D86D52"/>
    <w:rsid w:val="00D90F51"/>
    <w:rsid w:val="00D92363"/>
    <w:rsid w:val="00D9253E"/>
    <w:rsid w:val="00D93387"/>
    <w:rsid w:val="00D93B43"/>
    <w:rsid w:val="00D943D7"/>
    <w:rsid w:val="00D94D67"/>
    <w:rsid w:val="00D95E39"/>
    <w:rsid w:val="00D96F2A"/>
    <w:rsid w:val="00D9755F"/>
    <w:rsid w:val="00DA0126"/>
    <w:rsid w:val="00DA213B"/>
    <w:rsid w:val="00DA36CE"/>
    <w:rsid w:val="00DA36D7"/>
    <w:rsid w:val="00DA378D"/>
    <w:rsid w:val="00DA3DFA"/>
    <w:rsid w:val="00DA4750"/>
    <w:rsid w:val="00DA595F"/>
    <w:rsid w:val="00DA59C9"/>
    <w:rsid w:val="00DA6FA2"/>
    <w:rsid w:val="00DB30EB"/>
    <w:rsid w:val="00DB32F8"/>
    <w:rsid w:val="00DB4391"/>
    <w:rsid w:val="00DB4C99"/>
    <w:rsid w:val="00DB67FB"/>
    <w:rsid w:val="00DC0A4E"/>
    <w:rsid w:val="00DC10E1"/>
    <w:rsid w:val="00DC36A0"/>
    <w:rsid w:val="00DC372F"/>
    <w:rsid w:val="00DC3E9B"/>
    <w:rsid w:val="00DC4972"/>
    <w:rsid w:val="00DC7743"/>
    <w:rsid w:val="00DD0529"/>
    <w:rsid w:val="00DD1239"/>
    <w:rsid w:val="00DD37D5"/>
    <w:rsid w:val="00DD4519"/>
    <w:rsid w:val="00DD5580"/>
    <w:rsid w:val="00DD5A8D"/>
    <w:rsid w:val="00DD714B"/>
    <w:rsid w:val="00DE1828"/>
    <w:rsid w:val="00DE39F7"/>
    <w:rsid w:val="00DE6D33"/>
    <w:rsid w:val="00DE7A03"/>
    <w:rsid w:val="00DE7B65"/>
    <w:rsid w:val="00DF001F"/>
    <w:rsid w:val="00DF211E"/>
    <w:rsid w:val="00DF4268"/>
    <w:rsid w:val="00E01D8D"/>
    <w:rsid w:val="00E02725"/>
    <w:rsid w:val="00E02823"/>
    <w:rsid w:val="00E02A3B"/>
    <w:rsid w:val="00E030E6"/>
    <w:rsid w:val="00E03574"/>
    <w:rsid w:val="00E04DD3"/>
    <w:rsid w:val="00E05581"/>
    <w:rsid w:val="00E0628E"/>
    <w:rsid w:val="00E0703F"/>
    <w:rsid w:val="00E07074"/>
    <w:rsid w:val="00E1045B"/>
    <w:rsid w:val="00E107B6"/>
    <w:rsid w:val="00E108F4"/>
    <w:rsid w:val="00E1232C"/>
    <w:rsid w:val="00E1254D"/>
    <w:rsid w:val="00E12657"/>
    <w:rsid w:val="00E12DD5"/>
    <w:rsid w:val="00E13113"/>
    <w:rsid w:val="00E1371D"/>
    <w:rsid w:val="00E14E94"/>
    <w:rsid w:val="00E16332"/>
    <w:rsid w:val="00E20325"/>
    <w:rsid w:val="00E20A64"/>
    <w:rsid w:val="00E23D9A"/>
    <w:rsid w:val="00E240BF"/>
    <w:rsid w:val="00E273A8"/>
    <w:rsid w:val="00E275B5"/>
    <w:rsid w:val="00E27BD7"/>
    <w:rsid w:val="00E3039F"/>
    <w:rsid w:val="00E306A1"/>
    <w:rsid w:val="00E34614"/>
    <w:rsid w:val="00E35CCB"/>
    <w:rsid w:val="00E366AC"/>
    <w:rsid w:val="00E37481"/>
    <w:rsid w:val="00E4111C"/>
    <w:rsid w:val="00E42432"/>
    <w:rsid w:val="00E427A9"/>
    <w:rsid w:val="00E42DB1"/>
    <w:rsid w:val="00E433F7"/>
    <w:rsid w:val="00E44417"/>
    <w:rsid w:val="00E4485B"/>
    <w:rsid w:val="00E45826"/>
    <w:rsid w:val="00E4587B"/>
    <w:rsid w:val="00E46A1C"/>
    <w:rsid w:val="00E46BEA"/>
    <w:rsid w:val="00E505E0"/>
    <w:rsid w:val="00E511FD"/>
    <w:rsid w:val="00E5140E"/>
    <w:rsid w:val="00E52B6C"/>
    <w:rsid w:val="00E550FE"/>
    <w:rsid w:val="00E55616"/>
    <w:rsid w:val="00E56AB7"/>
    <w:rsid w:val="00E56EAE"/>
    <w:rsid w:val="00E57892"/>
    <w:rsid w:val="00E57FAE"/>
    <w:rsid w:val="00E622A6"/>
    <w:rsid w:val="00E630CA"/>
    <w:rsid w:val="00E64B32"/>
    <w:rsid w:val="00E6643E"/>
    <w:rsid w:val="00E670FB"/>
    <w:rsid w:val="00E6771F"/>
    <w:rsid w:val="00E67744"/>
    <w:rsid w:val="00E677D8"/>
    <w:rsid w:val="00E67CAF"/>
    <w:rsid w:val="00E67E7F"/>
    <w:rsid w:val="00E71FD3"/>
    <w:rsid w:val="00E72B23"/>
    <w:rsid w:val="00E72B2A"/>
    <w:rsid w:val="00E72C8C"/>
    <w:rsid w:val="00E73951"/>
    <w:rsid w:val="00E746FD"/>
    <w:rsid w:val="00E74ED3"/>
    <w:rsid w:val="00E754B4"/>
    <w:rsid w:val="00E772CD"/>
    <w:rsid w:val="00E776F6"/>
    <w:rsid w:val="00E77B4A"/>
    <w:rsid w:val="00E81194"/>
    <w:rsid w:val="00E81BE1"/>
    <w:rsid w:val="00E85204"/>
    <w:rsid w:val="00E85233"/>
    <w:rsid w:val="00E868E5"/>
    <w:rsid w:val="00E9017C"/>
    <w:rsid w:val="00E90338"/>
    <w:rsid w:val="00E92528"/>
    <w:rsid w:val="00E956CD"/>
    <w:rsid w:val="00E95768"/>
    <w:rsid w:val="00E96BEB"/>
    <w:rsid w:val="00E975DA"/>
    <w:rsid w:val="00EA5706"/>
    <w:rsid w:val="00EA5F43"/>
    <w:rsid w:val="00EA6F2B"/>
    <w:rsid w:val="00EB0621"/>
    <w:rsid w:val="00EB066E"/>
    <w:rsid w:val="00EB10DC"/>
    <w:rsid w:val="00EB1611"/>
    <w:rsid w:val="00EB248F"/>
    <w:rsid w:val="00EB5552"/>
    <w:rsid w:val="00EB62B3"/>
    <w:rsid w:val="00EB6764"/>
    <w:rsid w:val="00EB6CE2"/>
    <w:rsid w:val="00EB6CEB"/>
    <w:rsid w:val="00EB74C1"/>
    <w:rsid w:val="00EC0186"/>
    <w:rsid w:val="00EC0426"/>
    <w:rsid w:val="00EC0AC4"/>
    <w:rsid w:val="00EC1C8D"/>
    <w:rsid w:val="00EC212D"/>
    <w:rsid w:val="00EC3C0E"/>
    <w:rsid w:val="00EC4B04"/>
    <w:rsid w:val="00EC4CC6"/>
    <w:rsid w:val="00EC5031"/>
    <w:rsid w:val="00EC72BC"/>
    <w:rsid w:val="00EC72CC"/>
    <w:rsid w:val="00EC72D7"/>
    <w:rsid w:val="00ED039D"/>
    <w:rsid w:val="00ED03FA"/>
    <w:rsid w:val="00ED05EA"/>
    <w:rsid w:val="00ED386C"/>
    <w:rsid w:val="00ED3B56"/>
    <w:rsid w:val="00ED504D"/>
    <w:rsid w:val="00ED54D4"/>
    <w:rsid w:val="00ED685E"/>
    <w:rsid w:val="00ED689F"/>
    <w:rsid w:val="00ED7DF8"/>
    <w:rsid w:val="00ED7FA8"/>
    <w:rsid w:val="00EE0824"/>
    <w:rsid w:val="00EE1912"/>
    <w:rsid w:val="00EE254E"/>
    <w:rsid w:val="00EE4124"/>
    <w:rsid w:val="00EE5E0F"/>
    <w:rsid w:val="00EE6914"/>
    <w:rsid w:val="00EE7282"/>
    <w:rsid w:val="00EF027F"/>
    <w:rsid w:val="00EF34F4"/>
    <w:rsid w:val="00EF5A14"/>
    <w:rsid w:val="00EF763C"/>
    <w:rsid w:val="00F00892"/>
    <w:rsid w:val="00F03F82"/>
    <w:rsid w:val="00F0644A"/>
    <w:rsid w:val="00F06EFD"/>
    <w:rsid w:val="00F0700E"/>
    <w:rsid w:val="00F07D32"/>
    <w:rsid w:val="00F116E3"/>
    <w:rsid w:val="00F11CC0"/>
    <w:rsid w:val="00F120E6"/>
    <w:rsid w:val="00F13487"/>
    <w:rsid w:val="00F14815"/>
    <w:rsid w:val="00F15198"/>
    <w:rsid w:val="00F1604B"/>
    <w:rsid w:val="00F166F0"/>
    <w:rsid w:val="00F16945"/>
    <w:rsid w:val="00F174F1"/>
    <w:rsid w:val="00F17639"/>
    <w:rsid w:val="00F17647"/>
    <w:rsid w:val="00F17E8D"/>
    <w:rsid w:val="00F2012C"/>
    <w:rsid w:val="00F20903"/>
    <w:rsid w:val="00F2320B"/>
    <w:rsid w:val="00F2362E"/>
    <w:rsid w:val="00F23867"/>
    <w:rsid w:val="00F23DE2"/>
    <w:rsid w:val="00F24D4E"/>
    <w:rsid w:val="00F25111"/>
    <w:rsid w:val="00F30925"/>
    <w:rsid w:val="00F3135C"/>
    <w:rsid w:val="00F31984"/>
    <w:rsid w:val="00F32442"/>
    <w:rsid w:val="00F36B68"/>
    <w:rsid w:val="00F409B2"/>
    <w:rsid w:val="00F45A55"/>
    <w:rsid w:val="00F45D72"/>
    <w:rsid w:val="00F45E33"/>
    <w:rsid w:val="00F46253"/>
    <w:rsid w:val="00F47207"/>
    <w:rsid w:val="00F4739B"/>
    <w:rsid w:val="00F47CCE"/>
    <w:rsid w:val="00F47CDC"/>
    <w:rsid w:val="00F51302"/>
    <w:rsid w:val="00F52CD4"/>
    <w:rsid w:val="00F53B55"/>
    <w:rsid w:val="00F53CD4"/>
    <w:rsid w:val="00F53FB9"/>
    <w:rsid w:val="00F57581"/>
    <w:rsid w:val="00F60626"/>
    <w:rsid w:val="00F63C12"/>
    <w:rsid w:val="00F6571D"/>
    <w:rsid w:val="00F65F85"/>
    <w:rsid w:val="00F66318"/>
    <w:rsid w:val="00F66BE3"/>
    <w:rsid w:val="00F673CA"/>
    <w:rsid w:val="00F6751C"/>
    <w:rsid w:val="00F67A04"/>
    <w:rsid w:val="00F67FA0"/>
    <w:rsid w:val="00F70B9B"/>
    <w:rsid w:val="00F73557"/>
    <w:rsid w:val="00F760BA"/>
    <w:rsid w:val="00F7682F"/>
    <w:rsid w:val="00F8150A"/>
    <w:rsid w:val="00F81F4C"/>
    <w:rsid w:val="00F832A6"/>
    <w:rsid w:val="00F834EF"/>
    <w:rsid w:val="00F85F90"/>
    <w:rsid w:val="00F86037"/>
    <w:rsid w:val="00F86F5A"/>
    <w:rsid w:val="00F8780D"/>
    <w:rsid w:val="00F91673"/>
    <w:rsid w:val="00F93F6D"/>
    <w:rsid w:val="00F95654"/>
    <w:rsid w:val="00F95A72"/>
    <w:rsid w:val="00F97BED"/>
    <w:rsid w:val="00F97D21"/>
    <w:rsid w:val="00F97D27"/>
    <w:rsid w:val="00FA053D"/>
    <w:rsid w:val="00FA2B5A"/>
    <w:rsid w:val="00FA2C1C"/>
    <w:rsid w:val="00FA5677"/>
    <w:rsid w:val="00FA5A78"/>
    <w:rsid w:val="00FA67C8"/>
    <w:rsid w:val="00FA7A2A"/>
    <w:rsid w:val="00FB1955"/>
    <w:rsid w:val="00FB1B41"/>
    <w:rsid w:val="00FB2504"/>
    <w:rsid w:val="00FB4060"/>
    <w:rsid w:val="00FB59D4"/>
    <w:rsid w:val="00FB74CA"/>
    <w:rsid w:val="00FB7B9D"/>
    <w:rsid w:val="00FC13C4"/>
    <w:rsid w:val="00FC20A0"/>
    <w:rsid w:val="00FC48CF"/>
    <w:rsid w:val="00FC4AF6"/>
    <w:rsid w:val="00FC79D7"/>
    <w:rsid w:val="00FD1895"/>
    <w:rsid w:val="00FD2182"/>
    <w:rsid w:val="00FD2260"/>
    <w:rsid w:val="00FD31A0"/>
    <w:rsid w:val="00FD37ED"/>
    <w:rsid w:val="00FD43FD"/>
    <w:rsid w:val="00FD5376"/>
    <w:rsid w:val="00FD72F5"/>
    <w:rsid w:val="00FD7BCA"/>
    <w:rsid w:val="00FE16B7"/>
    <w:rsid w:val="00FE1ED7"/>
    <w:rsid w:val="00FE1F98"/>
    <w:rsid w:val="00FE2598"/>
    <w:rsid w:val="00FE3C78"/>
    <w:rsid w:val="00FE4CD9"/>
    <w:rsid w:val="00FE5794"/>
    <w:rsid w:val="00FE72F8"/>
    <w:rsid w:val="00FF3C82"/>
    <w:rsid w:val="00FF4178"/>
    <w:rsid w:val="00FF58AD"/>
    <w:rsid w:val="00FF5B10"/>
    <w:rsid w:val="00FF6A2F"/>
    <w:rsid w:val="00FF6A42"/>
    <w:rsid w:val="00FF7468"/>
    <w:rsid w:val="02C49506"/>
    <w:rsid w:val="034BAA05"/>
    <w:rsid w:val="0354D645"/>
    <w:rsid w:val="03E93C95"/>
    <w:rsid w:val="040FB896"/>
    <w:rsid w:val="04B4B7F2"/>
    <w:rsid w:val="04B5D8A0"/>
    <w:rsid w:val="0648D9F4"/>
    <w:rsid w:val="06AAC17C"/>
    <w:rsid w:val="06DB34C1"/>
    <w:rsid w:val="06EAD4B6"/>
    <w:rsid w:val="074C3953"/>
    <w:rsid w:val="075D8C5D"/>
    <w:rsid w:val="07942ECD"/>
    <w:rsid w:val="07A9B92B"/>
    <w:rsid w:val="081B5A24"/>
    <w:rsid w:val="089D9B52"/>
    <w:rsid w:val="0931A219"/>
    <w:rsid w:val="09700AF4"/>
    <w:rsid w:val="0A0FA2B1"/>
    <w:rsid w:val="0A6AB3D7"/>
    <w:rsid w:val="0ABC91B2"/>
    <w:rsid w:val="0BE6E17F"/>
    <w:rsid w:val="0C06630D"/>
    <w:rsid w:val="0C7716BD"/>
    <w:rsid w:val="0D1436CF"/>
    <w:rsid w:val="0D6589D1"/>
    <w:rsid w:val="0D671D68"/>
    <w:rsid w:val="0DAE4530"/>
    <w:rsid w:val="0DBE14BB"/>
    <w:rsid w:val="0E27F7D5"/>
    <w:rsid w:val="0EACBC03"/>
    <w:rsid w:val="0EBF8B46"/>
    <w:rsid w:val="0ED79768"/>
    <w:rsid w:val="0F0C2F1F"/>
    <w:rsid w:val="0F196001"/>
    <w:rsid w:val="0F89092C"/>
    <w:rsid w:val="0F9C114A"/>
    <w:rsid w:val="0FA49D87"/>
    <w:rsid w:val="0FE1ACA7"/>
    <w:rsid w:val="10200BD5"/>
    <w:rsid w:val="10FAF453"/>
    <w:rsid w:val="11097D1C"/>
    <w:rsid w:val="111367B0"/>
    <w:rsid w:val="11437BF6"/>
    <w:rsid w:val="116B73FC"/>
    <w:rsid w:val="116B845D"/>
    <w:rsid w:val="116D1F29"/>
    <w:rsid w:val="117FE485"/>
    <w:rsid w:val="11C765BE"/>
    <w:rsid w:val="11E08E1B"/>
    <w:rsid w:val="1231FE44"/>
    <w:rsid w:val="1260F41A"/>
    <w:rsid w:val="129D0C2F"/>
    <w:rsid w:val="12B537D1"/>
    <w:rsid w:val="12D6C5DD"/>
    <w:rsid w:val="1318BF3A"/>
    <w:rsid w:val="137C5E7C"/>
    <w:rsid w:val="137E21A4"/>
    <w:rsid w:val="13E3E5AF"/>
    <w:rsid w:val="13FD037A"/>
    <w:rsid w:val="14133113"/>
    <w:rsid w:val="141E6AE4"/>
    <w:rsid w:val="1477B808"/>
    <w:rsid w:val="14999308"/>
    <w:rsid w:val="14DF4588"/>
    <w:rsid w:val="15129E28"/>
    <w:rsid w:val="154A35B0"/>
    <w:rsid w:val="15778805"/>
    <w:rsid w:val="15C1565F"/>
    <w:rsid w:val="1612F0F1"/>
    <w:rsid w:val="161641A7"/>
    <w:rsid w:val="162192C9"/>
    <w:rsid w:val="167B140A"/>
    <w:rsid w:val="16E29A5C"/>
    <w:rsid w:val="1706C51C"/>
    <w:rsid w:val="173C84DA"/>
    <w:rsid w:val="1816E46B"/>
    <w:rsid w:val="18766455"/>
    <w:rsid w:val="18B3AB7F"/>
    <w:rsid w:val="1937503D"/>
    <w:rsid w:val="19482927"/>
    <w:rsid w:val="195251D4"/>
    <w:rsid w:val="19574B92"/>
    <w:rsid w:val="1A48A9C2"/>
    <w:rsid w:val="1AC80FB3"/>
    <w:rsid w:val="1B1CEEF8"/>
    <w:rsid w:val="1BC3E65B"/>
    <w:rsid w:val="1C1AEE65"/>
    <w:rsid w:val="1C309C8F"/>
    <w:rsid w:val="1CC911DE"/>
    <w:rsid w:val="1CD6F52D"/>
    <w:rsid w:val="1CDB1B0C"/>
    <w:rsid w:val="1DB4C023"/>
    <w:rsid w:val="1DF07E35"/>
    <w:rsid w:val="1EFFEA31"/>
    <w:rsid w:val="1F32AE47"/>
    <w:rsid w:val="1F4FFD13"/>
    <w:rsid w:val="1F681B36"/>
    <w:rsid w:val="20A05B0F"/>
    <w:rsid w:val="20F57FFA"/>
    <w:rsid w:val="22F52FD1"/>
    <w:rsid w:val="233FA726"/>
    <w:rsid w:val="235ED215"/>
    <w:rsid w:val="23EA25D1"/>
    <w:rsid w:val="244CA27A"/>
    <w:rsid w:val="24633718"/>
    <w:rsid w:val="251D17D0"/>
    <w:rsid w:val="2578E768"/>
    <w:rsid w:val="262A5AE4"/>
    <w:rsid w:val="267C7AB1"/>
    <w:rsid w:val="268E537B"/>
    <w:rsid w:val="27979609"/>
    <w:rsid w:val="27ED13F8"/>
    <w:rsid w:val="27ED1E90"/>
    <w:rsid w:val="28051DAF"/>
    <w:rsid w:val="282C2D23"/>
    <w:rsid w:val="2854B892"/>
    <w:rsid w:val="286981C3"/>
    <w:rsid w:val="28BFA887"/>
    <w:rsid w:val="28F01F04"/>
    <w:rsid w:val="2973D5C0"/>
    <w:rsid w:val="29DEBC24"/>
    <w:rsid w:val="2A2E14F8"/>
    <w:rsid w:val="2AD706F7"/>
    <w:rsid w:val="2B2AD045"/>
    <w:rsid w:val="2B8C5954"/>
    <w:rsid w:val="2BADCD99"/>
    <w:rsid w:val="2BC833CD"/>
    <w:rsid w:val="2BEC1CF0"/>
    <w:rsid w:val="2CA4E4F2"/>
    <w:rsid w:val="2CE2B340"/>
    <w:rsid w:val="2D8B6B7B"/>
    <w:rsid w:val="2DFAD6C5"/>
    <w:rsid w:val="2E244346"/>
    <w:rsid w:val="2E2C74DA"/>
    <w:rsid w:val="2E3D436A"/>
    <w:rsid w:val="2EBC44CD"/>
    <w:rsid w:val="2EFFD48F"/>
    <w:rsid w:val="2F061064"/>
    <w:rsid w:val="2F48BBC9"/>
    <w:rsid w:val="2F724B9C"/>
    <w:rsid w:val="2FA51F5C"/>
    <w:rsid w:val="30369693"/>
    <w:rsid w:val="308E9D16"/>
    <w:rsid w:val="3113B671"/>
    <w:rsid w:val="311C488B"/>
    <w:rsid w:val="31327787"/>
    <w:rsid w:val="3160A9C1"/>
    <w:rsid w:val="31B01D90"/>
    <w:rsid w:val="3256DDC2"/>
    <w:rsid w:val="3270D054"/>
    <w:rsid w:val="327676A9"/>
    <w:rsid w:val="32997B64"/>
    <w:rsid w:val="329E2487"/>
    <w:rsid w:val="32B7B5A8"/>
    <w:rsid w:val="32CE47E8"/>
    <w:rsid w:val="32D53A9E"/>
    <w:rsid w:val="3306C431"/>
    <w:rsid w:val="335BC3C6"/>
    <w:rsid w:val="33A3EC9A"/>
    <w:rsid w:val="345ECF6A"/>
    <w:rsid w:val="3494D146"/>
    <w:rsid w:val="35809FC2"/>
    <w:rsid w:val="3596FF2A"/>
    <w:rsid w:val="35F69D76"/>
    <w:rsid w:val="36575ABB"/>
    <w:rsid w:val="36C5CC64"/>
    <w:rsid w:val="36EB9EDB"/>
    <w:rsid w:val="375609ED"/>
    <w:rsid w:val="37B1ED84"/>
    <w:rsid w:val="37CF4D95"/>
    <w:rsid w:val="380A2B83"/>
    <w:rsid w:val="38118BF5"/>
    <w:rsid w:val="3832381A"/>
    <w:rsid w:val="3839C0F9"/>
    <w:rsid w:val="38B84084"/>
    <w:rsid w:val="391ED7D0"/>
    <w:rsid w:val="396506F8"/>
    <w:rsid w:val="3966DECB"/>
    <w:rsid w:val="39CC70C7"/>
    <w:rsid w:val="39F3E2BB"/>
    <w:rsid w:val="3A3F9428"/>
    <w:rsid w:val="3A540EBD"/>
    <w:rsid w:val="3A5AF4FA"/>
    <w:rsid w:val="3B169D65"/>
    <w:rsid w:val="3B5B254A"/>
    <w:rsid w:val="3B6C7EF9"/>
    <w:rsid w:val="3BDBC292"/>
    <w:rsid w:val="3C1D8588"/>
    <w:rsid w:val="3CCCFA1F"/>
    <w:rsid w:val="3D0A3123"/>
    <w:rsid w:val="3D2723E8"/>
    <w:rsid w:val="3D82157E"/>
    <w:rsid w:val="3D9797BD"/>
    <w:rsid w:val="3DC80DF8"/>
    <w:rsid w:val="3DFC54AE"/>
    <w:rsid w:val="3E39C82F"/>
    <w:rsid w:val="3F66DE49"/>
    <w:rsid w:val="3FA70EE0"/>
    <w:rsid w:val="3FB9F8F8"/>
    <w:rsid w:val="3FDB2AE3"/>
    <w:rsid w:val="4076496F"/>
    <w:rsid w:val="40E86B39"/>
    <w:rsid w:val="40EA826C"/>
    <w:rsid w:val="4130C600"/>
    <w:rsid w:val="4137607A"/>
    <w:rsid w:val="41564F3E"/>
    <w:rsid w:val="416EFAAF"/>
    <w:rsid w:val="41C93EEC"/>
    <w:rsid w:val="428CCD7F"/>
    <w:rsid w:val="42F64DEB"/>
    <w:rsid w:val="4317BAFB"/>
    <w:rsid w:val="4318F362"/>
    <w:rsid w:val="437A1941"/>
    <w:rsid w:val="43F76B29"/>
    <w:rsid w:val="440B8DF4"/>
    <w:rsid w:val="4410CFAC"/>
    <w:rsid w:val="4425304C"/>
    <w:rsid w:val="4435F768"/>
    <w:rsid w:val="44783B0A"/>
    <w:rsid w:val="44900C47"/>
    <w:rsid w:val="44DD2EE3"/>
    <w:rsid w:val="4503BA35"/>
    <w:rsid w:val="455253F5"/>
    <w:rsid w:val="45BB8756"/>
    <w:rsid w:val="45BC5D9A"/>
    <w:rsid w:val="46C0A112"/>
    <w:rsid w:val="4706FE18"/>
    <w:rsid w:val="472AB38C"/>
    <w:rsid w:val="47AD61E3"/>
    <w:rsid w:val="4806C938"/>
    <w:rsid w:val="4819FAAA"/>
    <w:rsid w:val="495B9ABC"/>
    <w:rsid w:val="49E32DC8"/>
    <w:rsid w:val="4B1FBB2C"/>
    <w:rsid w:val="4BE3EFEC"/>
    <w:rsid w:val="4D097B11"/>
    <w:rsid w:val="4D4FB992"/>
    <w:rsid w:val="4D859D1F"/>
    <w:rsid w:val="4E4A3C91"/>
    <w:rsid w:val="4F084F92"/>
    <w:rsid w:val="4F46F3FB"/>
    <w:rsid w:val="4FF997E5"/>
    <w:rsid w:val="510F5B7A"/>
    <w:rsid w:val="520FF903"/>
    <w:rsid w:val="5222BDBF"/>
    <w:rsid w:val="523E2D5B"/>
    <w:rsid w:val="529704A6"/>
    <w:rsid w:val="5488CA8F"/>
    <w:rsid w:val="54A6909B"/>
    <w:rsid w:val="54A6C9E9"/>
    <w:rsid w:val="54A92A2E"/>
    <w:rsid w:val="54AF1C11"/>
    <w:rsid w:val="550AD62C"/>
    <w:rsid w:val="55146599"/>
    <w:rsid w:val="5586D3B6"/>
    <w:rsid w:val="55877F8D"/>
    <w:rsid w:val="55F03A8E"/>
    <w:rsid w:val="5609CBAF"/>
    <w:rsid w:val="56430819"/>
    <w:rsid w:val="56ADBAE8"/>
    <w:rsid w:val="56C2EB67"/>
    <w:rsid w:val="56C579A1"/>
    <w:rsid w:val="56D4034C"/>
    <w:rsid w:val="56D4C156"/>
    <w:rsid w:val="56F3AE3C"/>
    <w:rsid w:val="5720733B"/>
    <w:rsid w:val="577BC100"/>
    <w:rsid w:val="5791227D"/>
    <w:rsid w:val="57A1587F"/>
    <w:rsid w:val="58935857"/>
    <w:rsid w:val="589494A7"/>
    <w:rsid w:val="591EB95A"/>
    <w:rsid w:val="59E55BAA"/>
    <w:rsid w:val="5A00DDB4"/>
    <w:rsid w:val="5A85FE8E"/>
    <w:rsid w:val="5AC01848"/>
    <w:rsid w:val="5B0BCA2A"/>
    <w:rsid w:val="5B1452E9"/>
    <w:rsid w:val="5B320DD2"/>
    <w:rsid w:val="5C1EDDFB"/>
    <w:rsid w:val="5C48A082"/>
    <w:rsid w:val="5C82EBB3"/>
    <w:rsid w:val="5CC63563"/>
    <w:rsid w:val="5D29E3F3"/>
    <w:rsid w:val="5E36CF43"/>
    <w:rsid w:val="5F38F29C"/>
    <w:rsid w:val="5F68F062"/>
    <w:rsid w:val="5F70397A"/>
    <w:rsid w:val="5FC2F78F"/>
    <w:rsid w:val="5FD42B55"/>
    <w:rsid w:val="600B9FAC"/>
    <w:rsid w:val="6036A0FC"/>
    <w:rsid w:val="6067865F"/>
    <w:rsid w:val="607A1E6F"/>
    <w:rsid w:val="607A9419"/>
    <w:rsid w:val="60934214"/>
    <w:rsid w:val="60E6C669"/>
    <w:rsid w:val="6114F53F"/>
    <w:rsid w:val="61AA4244"/>
    <w:rsid w:val="61C68942"/>
    <w:rsid w:val="626483DA"/>
    <w:rsid w:val="62CF87DF"/>
    <w:rsid w:val="63117179"/>
    <w:rsid w:val="63B022C5"/>
    <w:rsid w:val="63D07043"/>
    <w:rsid w:val="643B1FEE"/>
    <w:rsid w:val="65376D85"/>
    <w:rsid w:val="65513C98"/>
    <w:rsid w:val="656D5C09"/>
    <w:rsid w:val="65796AA5"/>
    <w:rsid w:val="65AA3C94"/>
    <w:rsid w:val="65CDEB44"/>
    <w:rsid w:val="660CEDE6"/>
    <w:rsid w:val="662F8A80"/>
    <w:rsid w:val="667AE130"/>
    <w:rsid w:val="66CA3A18"/>
    <w:rsid w:val="67BB1EAB"/>
    <w:rsid w:val="67EF77D5"/>
    <w:rsid w:val="6805FEC1"/>
    <w:rsid w:val="680F94BB"/>
    <w:rsid w:val="68451184"/>
    <w:rsid w:val="6874D649"/>
    <w:rsid w:val="69E4707A"/>
    <w:rsid w:val="6A347AF1"/>
    <w:rsid w:val="6A3CDADE"/>
    <w:rsid w:val="6AE98EDA"/>
    <w:rsid w:val="6AEA572C"/>
    <w:rsid w:val="6C1FE4CB"/>
    <w:rsid w:val="6C34D152"/>
    <w:rsid w:val="6C77BF45"/>
    <w:rsid w:val="6CA43682"/>
    <w:rsid w:val="6D1C8372"/>
    <w:rsid w:val="6D47FAF2"/>
    <w:rsid w:val="6D52CB23"/>
    <w:rsid w:val="6DE41C19"/>
    <w:rsid w:val="6E654D9E"/>
    <w:rsid w:val="6E742CDF"/>
    <w:rsid w:val="6E86676C"/>
    <w:rsid w:val="6E87F9F4"/>
    <w:rsid w:val="6EFE5D4B"/>
    <w:rsid w:val="6F79E989"/>
    <w:rsid w:val="7012BF84"/>
    <w:rsid w:val="7066B71B"/>
    <w:rsid w:val="719364C3"/>
    <w:rsid w:val="72687F8D"/>
    <w:rsid w:val="7309E154"/>
    <w:rsid w:val="7335ED3F"/>
    <w:rsid w:val="737291E8"/>
    <w:rsid w:val="73C46DA9"/>
    <w:rsid w:val="74B770B0"/>
    <w:rsid w:val="754DD53E"/>
    <w:rsid w:val="7593F4B6"/>
    <w:rsid w:val="75E53A35"/>
    <w:rsid w:val="75FF37D2"/>
    <w:rsid w:val="762FB4D3"/>
    <w:rsid w:val="7784C7ED"/>
    <w:rsid w:val="77B97309"/>
    <w:rsid w:val="78495727"/>
    <w:rsid w:val="787C56BF"/>
    <w:rsid w:val="78ABD2A1"/>
    <w:rsid w:val="78FEB28E"/>
    <w:rsid w:val="796EED8D"/>
    <w:rsid w:val="796F6B27"/>
    <w:rsid w:val="7994F00B"/>
    <w:rsid w:val="79B707C5"/>
    <w:rsid w:val="79FEF335"/>
    <w:rsid w:val="7A08E6FE"/>
    <w:rsid w:val="7A68CD06"/>
    <w:rsid w:val="7B9426DF"/>
    <w:rsid w:val="7BB9FFB5"/>
    <w:rsid w:val="7CC01736"/>
    <w:rsid w:val="7D645680"/>
    <w:rsid w:val="7D836F51"/>
    <w:rsid w:val="7DB761B4"/>
    <w:rsid w:val="7DFB13A1"/>
    <w:rsid w:val="7EC2C40D"/>
    <w:rsid w:val="7F93B5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700"/>
  <w15:docId w15:val="{777EBC6D-E68F-49B8-86DB-AD67E84B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3" w:qFormat="1"/>
    <w:lsdException w:name="heading 2" w:locked="0" w:semiHidden="1" w:uiPriority="3" w:unhideWhenUsed="1" w:qFormat="1"/>
    <w:lsdException w:name="heading 3" w:locked="0" w:semiHidden="1" w:uiPriority="9" w:unhideWhenUsed="1" w:qFormat="1"/>
    <w:lsdException w:name="heading 4" w:locked="0"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0"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semiHidden="1" w:unhideWhenUsed="1"/>
    <w:lsdException w:name="List Number 4" w:semiHidden="1" w:unhideWhenUsed="1"/>
    <w:lsdException w:name="List Number 5" w:semiHidden="1" w:unhideWhenUsed="1"/>
    <w:lsdException w:name="Title" w:locked="0" w:uiPriority="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A4B14"/>
    <w:pPr>
      <w:keepLines/>
      <w:spacing w:line="288" w:lineRule="auto"/>
    </w:pPr>
    <w:rPr>
      <w:rFonts w:ascii="Calibri" w:hAnsi="Calibri"/>
      <w:color w:val="000000" w:themeColor="text1"/>
      <w:kern w:val="2"/>
      <w:sz w:val="24"/>
      <w:lang w:val="en-US" w:eastAsia="ja-JP"/>
    </w:rPr>
  </w:style>
  <w:style w:type="paragraph" w:styleId="Heading1">
    <w:name w:val="heading 1"/>
    <w:basedOn w:val="Normal"/>
    <w:next w:val="Normal"/>
    <w:link w:val="Heading1Char"/>
    <w:uiPriority w:val="3"/>
    <w:qFormat/>
    <w:rsid w:val="009063BC"/>
    <w:pPr>
      <w:spacing w:before="1560" w:line="240" w:lineRule="auto"/>
      <w:outlineLvl w:val="0"/>
    </w:pPr>
    <w:rPr>
      <w:b/>
      <w:bCs/>
      <w:color w:val="5F497A"/>
      <w:sz w:val="108"/>
      <w:szCs w:val="108"/>
    </w:rPr>
  </w:style>
  <w:style w:type="paragraph" w:styleId="Heading2">
    <w:name w:val="heading 2"/>
    <w:basedOn w:val="Normal"/>
    <w:next w:val="Normal"/>
    <w:link w:val="Heading2Char"/>
    <w:uiPriority w:val="3"/>
    <w:unhideWhenUsed/>
    <w:qFormat/>
    <w:rsid w:val="009063BC"/>
    <w:pPr>
      <w:spacing w:before="240" w:after="240"/>
      <w:outlineLvl w:val="1"/>
    </w:pPr>
    <w:rPr>
      <w:b/>
      <w:bCs/>
      <w:color w:val="5F497A" w:themeColor="accent4" w:themeShade="BF"/>
      <w:sz w:val="56"/>
      <w:szCs w:val="56"/>
    </w:rPr>
  </w:style>
  <w:style w:type="paragraph" w:styleId="Heading3">
    <w:name w:val="heading 3"/>
    <w:basedOn w:val="Normal"/>
    <w:next w:val="Normal"/>
    <w:link w:val="Heading3Char"/>
    <w:uiPriority w:val="3"/>
    <w:unhideWhenUsed/>
    <w:qFormat/>
    <w:rsid w:val="00A94C80"/>
    <w:pPr>
      <w:keepNext/>
      <w:spacing w:before="300" w:after="200"/>
      <w:outlineLvl w:val="2"/>
    </w:pPr>
    <w:rPr>
      <w:b/>
      <w:bCs/>
      <w:sz w:val="36"/>
      <w:szCs w:val="36"/>
      <w:lang w:val="en-AU"/>
    </w:rPr>
  </w:style>
  <w:style w:type="paragraph" w:styleId="Heading4">
    <w:name w:val="heading 4"/>
    <w:basedOn w:val="Normal"/>
    <w:next w:val="Normal"/>
    <w:link w:val="Heading4Char"/>
    <w:uiPriority w:val="3"/>
    <w:unhideWhenUsed/>
    <w:qFormat/>
    <w:rsid w:val="00F30925"/>
    <w:pPr>
      <w:keepNext/>
      <w:spacing w:before="200" w:after="60"/>
      <w:outlineLvl w:val="3"/>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E427A9"/>
    <w:rPr>
      <w:rFonts w:ascii="Calibri" w:hAnsi="Calibri"/>
      <w:b/>
      <w:bCs/>
      <w:color w:val="5F497A"/>
      <w:kern w:val="2"/>
      <w:sz w:val="108"/>
      <w:szCs w:val="108"/>
      <w:lang w:val="en-US" w:eastAsia="ja-JP"/>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596F84"/>
    <w:rPr>
      <w:b/>
      <w:color w:val="5F497A"/>
      <w:sz w:val="56"/>
      <w:szCs w:val="56"/>
    </w:rPr>
  </w:style>
  <w:style w:type="character" w:customStyle="1" w:styleId="Heading2Char">
    <w:name w:val="Heading 2 Char"/>
    <w:link w:val="Heading2"/>
    <w:uiPriority w:val="3"/>
    <w:rsid w:val="00E427A9"/>
    <w:rPr>
      <w:rFonts w:ascii="Calibri" w:hAnsi="Calibri"/>
      <w:b/>
      <w:bCs/>
      <w:color w:val="5F497A" w:themeColor="accent4" w:themeShade="BF"/>
      <w:kern w:val="2"/>
      <w:sz w:val="56"/>
      <w:szCs w:val="56"/>
      <w:lang w:val="en-US" w:eastAsia="ja-JP"/>
    </w:rPr>
  </w:style>
  <w:style w:type="character" w:customStyle="1" w:styleId="Heading3Char">
    <w:name w:val="Heading 3 Char"/>
    <w:link w:val="Heading3"/>
    <w:uiPriority w:val="3"/>
    <w:rsid w:val="00A94C80"/>
    <w:rPr>
      <w:rFonts w:ascii="Calibri" w:hAnsi="Calibri"/>
      <w:b/>
      <w:bCs/>
      <w:color w:val="000000" w:themeColor="text1"/>
      <w:kern w:val="2"/>
      <w:sz w:val="36"/>
      <w:szCs w:val="36"/>
      <w:lang w:eastAsia="ja-JP"/>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rsid w:val="00605FAA"/>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rsid w:val="00F30925"/>
    <w:rPr>
      <w:rFonts w:ascii="Calibri" w:eastAsia="Times New Roman" w:hAnsi="Calibri"/>
      <w:b/>
      <w:bCs/>
      <w:color w:val="000000" w:themeColor="text1"/>
      <w:kern w:val="2"/>
      <w:sz w:val="27"/>
      <w:szCs w:val="27"/>
      <w:lang w:val="en-US" w:eastAsia="ja-JP"/>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paragraph" w:customStyle="1" w:styleId="StyleBoldBackground1Left-071cm">
    <w:name w:val="Style Bold Background 1 Left:  -0.71 cm"/>
    <w:basedOn w:val="Normal"/>
    <w:rsid w:val="00D5119F"/>
    <w:pPr>
      <w:ind w:left="-404"/>
    </w:pPr>
    <w:rPr>
      <w:rFonts w:eastAsia="Times New Roman"/>
      <w:b/>
      <w:bCs/>
      <w:color w:val="C0504D" w:themeColor="accent2"/>
      <w:sz w:val="144"/>
    </w:rPr>
  </w:style>
  <w:style w:type="character" w:styleId="Hyperlink">
    <w:name w:val="Hyperlink"/>
    <w:uiPriority w:val="99"/>
    <w:unhideWhenUsed/>
    <w:rsid w:val="00A003EE"/>
    <w:rPr>
      <w:b w:val="0"/>
      <w:color w:val="5F497A"/>
      <w:u w:val="single"/>
    </w:rPr>
  </w:style>
  <w:style w:type="paragraph" w:customStyle="1" w:styleId="Bullets1">
    <w:name w:val="Bullets 1"/>
    <w:basedOn w:val="BodyText"/>
    <w:qFormat/>
    <w:rsid w:val="00D5119F"/>
    <w:pPr>
      <w:numPr>
        <w:numId w:val="3"/>
      </w:numPr>
      <w:spacing w:before="60"/>
      <w:ind w:left="284" w:hanging="284"/>
    </w:pPr>
  </w:style>
  <w:style w:type="paragraph" w:styleId="BalloonText">
    <w:name w:val="Balloon Text"/>
    <w:basedOn w:val="Normal"/>
    <w:link w:val="BalloonTextChar"/>
    <w:uiPriority w:val="99"/>
    <w:semiHidden/>
    <w:unhideWhenUsed/>
    <w:locked/>
    <w:pPr>
      <w:spacing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rsid w:val="00A13CAD"/>
    <w:pPr>
      <w:numPr>
        <w:ilvl w:val="1"/>
      </w:numPr>
      <w:ind w:left="1094" w:hanging="357"/>
    </w:pPr>
  </w:style>
  <w:style w:type="paragraph" w:styleId="TOC1">
    <w:name w:val="toc 1"/>
    <w:next w:val="Normal"/>
    <w:autoRedefine/>
    <w:uiPriority w:val="39"/>
    <w:unhideWhenUsed/>
    <w:rsid w:val="00E23D9A"/>
    <w:pPr>
      <w:pBdr>
        <w:top w:val="single" w:sz="8" w:space="7" w:color="FFFFFF"/>
        <w:left w:val="single" w:sz="8" w:space="7" w:color="FFFFFF"/>
        <w:bottom w:val="single" w:sz="8" w:space="7" w:color="FFFFFF"/>
        <w:right w:val="single" w:sz="8" w:space="7" w:color="FFFFFF"/>
      </w:pBdr>
      <w:shd w:val="clear" w:color="auto" w:fill="FFFFFF"/>
      <w:tabs>
        <w:tab w:val="right" w:pos="9639"/>
      </w:tabs>
      <w:spacing w:after="160"/>
      <w:ind w:right="-153"/>
      <w:contextualSpacing/>
    </w:pPr>
    <w:rPr>
      <w:rFonts w:ascii="Calibri" w:hAnsi="Calibri"/>
      <w:b/>
      <w:color w:val="000000" w:themeColor="text1"/>
      <w:kern w:val="2"/>
      <w:sz w:val="28"/>
      <w:szCs w:val="32"/>
      <w:lang w:val="en-US" w:eastAsia="ja-JP"/>
    </w:rPr>
  </w:style>
  <w:style w:type="paragraph" w:styleId="Footer">
    <w:name w:val="footer"/>
    <w:basedOn w:val="Normal"/>
    <w:link w:val="FooterChar"/>
    <w:uiPriority w:val="99"/>
    <w:unhideWhenUsed/>
    <w:rsid w:val="00D2543B"/>
    <w:pPr>
      <w:tabs>
        <w:tab w:val="center" w:pos="4680"/>
        <w:tab w:val="right" w:pos="9360"/>
      </w:tabs>
      <w:spacing w:line="240" w:lineRule="auto"/>
    </w:pPr>
    <w:rPr>
      <w:rFonts w:asciiTheme="minorHAnsi" w:eastAsiaTheme="minorEastAsia" w:hAnsiTheme="minorHAnsi"/>
      <w:color w:val="FFFFFF" w:themeColor="background1"/>
      <w:kern w:val="0"/>
      <w:sz w:val="22"/>
      <w:szCs w:val="22"/>
      <w:lang w:eastAsia="en-US"/>
    </w:rPr>
  </w:style>
  <w:style w:type="character" w:customStyle="1" w:styleId="FooterChar">
    <w:name w:val="Footer Char"/>
    <w:basedOn w:val="DefaultParagraphFont"/>
    <w:link w:val="Footer"/>
    <w:uiPriority w:val="99"/>
    <w:rsid w:val="00D2543B"/>
    <w:rPr>
      <w:rFonts w:asciiTheme="minorHAnsi" w:eastAsiaTheme="minorEastAsia" w:hAnsiTheme="minorHAnsi"/>
      <w:color w:val="FFFFFF" w:themeColor="background1"/>
      <w:sz w:val="22"/>
      <w:szCs w:val="22"/>
      <w:lang w:val="en-US" w:eastAsia="en-US"/>
    </w:rPr>
  </w:style>
  <w:style w:type="paragraph" w:customStyle="1" w:styleId="Disclaimer">
    <w:name w:val="Disclaimer"/>
    <w:basedOn w:val="Normal"/>
    <w:rsid w:val="002C3945"/>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rsid w:val="005C7E7F"/>
    <w:pPr>
      <w:numPr>
        <w:numId w:val="14"/>
      </w:numPr>
      <w:ind w:left="357" w:hanging="357"/>
    </w:pPr>
  </w:style>
  <w:style w:type="paragraph" w:customStyle="1" w:styleId="StyleBoldBackground1Left-071cm1">
    <w:name w:val="Style Bold Background 1 Left:  -0.71 cm1"/>
    <w:next w:val="NormalWeb"/>
    <w:rsid w:val="00D5119F"/>
    <w:pPr>
      <w:ind w:left="-404"/>
    </w:pPr>
    <w:rPr>
      <w:rFonts w:ascii="Calibri" w:eastAsia="Times New Roman" w:hAnsi="Calibri"/>
      <w:b/>
      <w:bCs/>
      <w:color w:val="00B0F0"/>
      <w:kern w:val="2"/>
      <w:sz w:val="144"/>
      <w:lang w:val="en-US" w:eastAsia="ja-JP"/>
    </w:rPr>
  </w:style>
  <w:style w:type="paragraph" w:customStyle="1" w:styleId="List2">
    <w:name w:val="List_2"/>
    <w:basedOn w:val="List1"/>
    <w:rsid w:val="005C7E7F"/>
    <w:pPr>
      <w:numPr>
        <w:numId w:val="16"/>
      </w:numPr>
      <w:ind w:left="641" w:hanging="357"/>
    </w:pPr>
  </w:style>
  <w:style w:type="paragraph" w:customStyle="1" w:styleId="Quote1">
    <w:name w:val="Quote1"/>
    <w:basedOn w:val="BodyText"/>
    <w:qFormat/>
    <w:rsid w:val="00360D8B"/>
    <w:pPr>
      <w:spacing w:before="160" w:after="400"/>
    </w:pPr>
    <w:rPr>
      <w:i/>
      <w:iCs/>
    </w:rPr>
  </w:style>
  <w:style w:type="paragraph" w:styleId="TOCHeading">
    <w:name w:val="TOC Heading"/>
    <w:basedOn w:val="Heading1"/>
    <w:next w:val="Normal"/>
    <w:uiPriority w:val="39"/>
    <w:unhideWhenUsed/>
    <w:qFormat/>
    <w:rsid w:val="0046159C"/>
  </w:style>
  <w:style w:type="paragraph" w:styleId="NormalWeb">
    <w:name w:val="Normal (Web)"/>
    <w:basedOn w:val="Normal"/>
    <w:uiPriority w:val="99"/>
    <w:semiHidden/>
    <w:unhideWhenUsed/>
    <w:locked/>
    <w:rsid w:val="00D5119F"/>
    <w:rPr>
      <w:rFonts w:ascii="Times New Roman" w:hAnsi="Times New Roman"/>
      <w:szCs w:val="24"/>
    </w:r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Normal"/>
    <w:rsid w:val="00F70B9B"/>
    <w:pPr>
      <w:tabs>
        <w:tab w:val="center" w:pos="4513"/>
        <w:tab w:val="right" w:pos="14742"/>
      </w:tabs>
      <w:spacing w:before="360"/>
    </w:pPr>
    <w:rPr>
      <w:b/>
      <w:color w:val="1F497D"/>
      <w:sz w:val="20"/>
    </w:r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Borders>
        <w:top w:val="single" w:sz="4" w:space="0" w:color="1F497D" w:themeColor="text2"/>
        <w:left w:val="single" w:sz="4" w:space="0" w:color="1F497D" w:themeColor="text2"/>
        <w:bottom w:val="single" w:sz="4" w:space="0" w:color="1F497D" w:themeColor="text2"/>
        <w:right w:val="single" w:sz="4" w:space="0" w:color="1F497D" w:themeColor="text2"/>
      </w:tblBorders>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A00188"/>
    <w:pPr>
      <w:tabs>
        <w:tab w:val="right" w:leader="dot" w:pos="9639"/>
      </w:tabs>
      <w:spacing w:after="120" w:line="240" w:lineRule="auto"/>
      <w:ind w:left="454" w:right="1134"/>
    </w:pPr>
  </w:style>
  <w:style w:type="character" w:styleId="Emphasis">
    <w:name w:val="Emphasis"/>
    <w:basedOn w:val="DefaultParagraphFont"/>
    <w:uiPriority w:val="20"/>
    <w:unhideWhenUsed/>
    <w:qFormat/>
    <w:rsid w:val="00A3111D"/>
    <w:rPr>
      <w:i/>
      <w:iCs/>
    </w:rPr>
  </w:style>
  <w:style w:type="paragraph" w:styleId="FootnoteText">
    <w:name w:val="footnote text"/>
    <w:basedOn w:val="Normal"/>
    <w:link w:val="FootnoteTextChar"/>
    <w:uiPriority w:val="99"/>
    <w:semiHidden/>
    <w:unhideWhenUsed/>
    <w:rsid w:val="004E3738"/>
    <w:pPr>
      <w:spacing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uiPriority w:val="99"/>
    <w:semiHidden/>
    <w:unhideWhenUsed/>
    <w:rsid w:val="004E3738"/>
    <w:rPr>
      <w:vertAlign w:val="superscript"/>
    </w:rPr>
  </w:style>
  <w:style w:type="paragraph" w:styleId="Subtitle">
    <w:name w:val="Subtitle"/>
    <w:basedOn w:val="Normal"/>
    <w:next w:val="Normal"/>
    <w:link w:val="SubtitleChar"/>
    <w:uiPriority w:val="2"/>
    <w:qFormat/>
    <w:rsid w:val="007661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2"/>
    <w:rsid w:val="0076610C"/>
    <w:rPr>
      <w:rFonts w:asciiTheme="minorHAnsi" w:eastAsiaTheme="minorEastAsia" w:hAnsiTheme="minorHAnsi" w:cstheme="minorBidi"/>
      <w:color w:val="5A5A5A" w:themeColor="text1" w:themeTint="A5"/>
      <w:spacing w:val="15"/>
      <w:kern w:val="2"/>
      <w:sz w:val="22"/>
      <w:szCs w:val="22"/>
      <w:lang w:val="en-US" w:eastAsia="ja-JP"/>
    </w:rPr>
  </w:style>
  <w:style w:type="paragraph" w:customStyle="1" w:styleId="Bulletedlist">
    <w:name w:val="Bulleted list"/>
    <w:basedOn w:val="Normal"/>
    <w:qFormat/>
    <w:rsid w:val="00EB0621"/>
    <w:pPr>
      <w:tabs>
        <w:tab w:val="left" w:pos="284"/>
      </w:tabs>
      <w:spacing w:before="120" w:line="360" w:lineRule="auto"/>
      <w:ind w:left="284" w:hanging="284"/>
      <w:contextualSpacing/>
    </w:pPr>
    <w:rPr>
      <w:rFonts w:asciiTheme="minorHAnsi" w:eastAsia="Times New Roman" w:hAnsiTheme="minorHAnsi"/>
      <w:color w:val="000000"/>
      <w:kern w:val="0"/>
      <w:sz w:val="25"/>
      <w:lang w:val="en-AU" w:eastAsia="en-AU"/>
    </w:rPr>
  </w:style>
  <w:style w:type="character" w:styleId="CommentReference">
    <w:name w:val="annotation reference"/>
    <w:basedOn w:val="DefaultParagraphFont"/>
    <w:unhideWhenUsed/>
    <w:locked/>
    <w:rsid w:val="00AA1711"/>
    <w:rPr>
      <w:sz w:val="16"/>
      <w:szCs w:val="16"/>
    </w:rPr>
  </w:style>
  <w:style w:type="paragraph" w:customStyle="1" w:styleId="Table-Header">
    <w:name w:val="Table-Header"/>
    <w:basedOn w:val="BodyText"/>
    <w:qFormat/>
    <w:rsid w:val="00880055"/>
    <w:pPr>
      <w:spacing w:before="40" w:after="40" w:line="240" w:lineRule="auto"/>
    </w:pPr>
    <w:rPr>
      <w:b/>
      <w:bCs/>
    </w:rPr>
  </w:style>
  <w:style w:type="character" w:customStyle="1" w:styleId="StyleFootnoteReferenceDarkRed">
    <w:name w:val="Style Footnote Reference + Dark Red"/>
    <w:basedOn w:val="FootnoteReference"/>
    <w:rsid w:val="00494786"/>
    <w:rPr>
      <w:color w:val="000000" w:themeColor="text1"/>
      <w:vertAlign w:val="superscript"/>
    </w:rPr>
  </w:style>
  <w:style w:type="paragraph" w:styleId="CommentSubject">
    <w:name w:val="annotation subject"/>
    <w:basedOn w:val="Normal"/>
    <w:next w:val="Normal"/>
    <w:link w:val="CommentSubjectChar"/>
    <w:uiPriority w:val="99"/>
    <w:semiHidden/>
    <w:unhideWhenUsed/>
    <w:locked/>
    <w:rsid w:val="00EC72BC"/>
    <w:pPr>
      <w:spacing w:line="240" w:lineRule="auto"/>
    </w:pPr>
    <w:rPr>
      <w:b/>
      <w:bCs/>
      <w:sz w:val="20"/>
    </w:rPr>
  </w:style>
  <w:style w:type="character" w:customStyle="1" w:styleId="CommentSubjectChar">
    <w:name w:val="Comment Subject Char"/>
    <w:basedOn w:val="DefaultParagraphFont"/>
    <w:link w:val="CommentSubject"/>
    <w:uiPriority w:val="99"/>
    <w:semiHidden/>
    <w:rsid w:val="00EC72BC"/>
    <w:rPr>
      <w:rFonts w:ascii="Calibri" w:hAnsi="Calibri"/>
      <w:b/>
      <w:bCs/>
      <w:color w:val="000000" w:themeColor="text1"/>
      <w:kern w:val="2"/>
      <w:lang w:val="en-US" w:eastAsia="ja-JP"/>
    </w:rPr>
  </w:style>
  <w:style w:type="paragraph" w:styleId="TOC2">
    <w:name w:val="toc 2"/>
    <w:basedOn w:val="Normal"/>
    <w:next w:val="Normal"/>
    <w:autoRedefine/>
    <w:uiPriority w:val="39"/>
    <w:unhideWhenUsed/>
    <w:rsid w:val="00A00188"/>
    <w:pPr>
      <w:tabs>
        <w:tab w:val="right" w:leader="dot" w:pos="9639"/>
      </w:tabs>
      <w:spacing w:after="120"/>
      <w:ind w:right="1134"/>
    </w:pPr>
    <w:rPr>
      <w:b/>
      <w:noProof/>
      <w:sz w:val="28"/>
      <w:szCs w:val="32"/>
    </w:rPr>
  </w:style>
  <w:style w:type="paragraph" w:styleId="Title">
    <w:name w:val="Title"/>
    <w:basedOn w:val="Heading1"/>
    <w:next w:val="Normal"/>
    <w:link w:val="TitleChar"/>
    <w:uiPriority w:val="1"/>
    <w:qFormat/>
    <w:rsid w:val="00CE25A4"/>
    <w:pPr>
      <w:spacing w:before="0"/>
    </w:pPr>
    <w:rPr>
      <w:rFonts w:ascii="Museo Sans 300" w:hAnsi="Museo Sans 300"/>
      <w:color w:val="FFFFFF" w:themeColor="background1"/>
      <w:sz w:val="44"/>
      <w:szCs w:val="44"/>
    </w:rPr>
  </w:style>
  <w:style w:type="character" w:customStyle="1" w:styleId="TitleChar">
    <w:name w:val="Title Char"/>
    <w:basedOn w:val="DefaultParagraphFont"/>
    <w:link w:val="Title"/>
    <w:uiPriority w:val="1"/>
    <w:rsid w:val="00CE25A4"/>
    <w:rPr>
      <w:rFonts w:ascii="Museo Sans 300" w:eastAsia="Times New Roman" w:hAnsi="Museo Sans 300"/>
      <w:b/>
      <w:bCs/>
      <w:color w:val="FFFFFF" w:themeColor="background1"/>
      <w:kern w:val="2"/>
      <w:sz w:val="44"/>
      <w:szCs w:val="44"/>
      <w:lang w:val="en-US" w:eastAsia="ja-JP"/>
    </w:rPr>
  </w:style>
  <w:style w:type="table" w:styleId="ListTable3">
    <w:name w:val="List Table 3"/>
    <w:basedOn w:val="TableNormal"/>
    <w:uiPriority w:val="48"/>
    <w:rsid w:val="0021270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uiPriority w:val="3"/>
    <w:unhideWhenUsed/>
    <w:qFormat/>
    <w:rsid w:val="001C7D6D"/>
    <w:pPr>
      <w:spacing w:after="160" w:line="240" w:lineRule="auto"/>
    </w:pPr>
    <w:rPr>
      <w:b/>
      <w:iCs/>
      <w:color w:val="666666"/>
      <w:sz w:val="30"/>
      <w:szCs w:val="30"/>
    </w:rPr>
  </w:style>
  <w:style w:type="paragraph" w:styleId="CommentText">
    <w:name w:val="annotation text"/>
    <w:basedOn w:val="Normal"/>
    <w:link w:val="CommentTextChar"/>
    <w:unhideWhenUsed/>
    <w:locked/>
    <w:rsid w:val="00736A1C"/>
    <w:pPr>
      <w:spacing w:line="240" w:lineRule="auto"/>
    </w:pPr>
    <w:rPr>
      <w:sz w:val="20"/>
    </w:rPr>
  </w:style>
  <w:style w:type="table" w:styleId="GridTable1Light">
    <w:name w:val="Grid Table 1 Light"/>
    <w:basedOn w:val="TableNormal"/>
    <w:uiPriority w:val="46"/>
    <w:rsid w:val="00780C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B74C1"/>
    <w:rPr>
      <w:rFonts w:ascii="Calibri" w:hAnsi="Calibri"/>
      <w:color w:val="000000" w:themeColor="text1"/>
      <w:kern w:val="2"/>
      <w:sz w:val="24"/>
      <w:lang w:val="en-US" w:eastAsia="ja-JP"/>
    </w:rPr>
  </w:style>
  <w:style w:type="character" w:customStyle="1" w:styleId="CommentTextChar">
    <w:name w:val="Comment Text Char"/>
    <w:basedOn w:val="DefaultParagraphFont"/>
    <w:link w:val="CommentText"/>
    <w:rsid w:val="00736A1C"/>
    <w:rPr>
      <w:rFonts w:ascii="Calibri" w:hAnsi="Calibri"/>
      <w:color w:val="000000" w:themeColor="text1"/>
      <w:kern w:val="2"/>
      <w:lang w:val="en-US" w:eastAsia="ja-JP"/>
    </w:rPr>
  </w:style>
  <w:style w:type="character" w:styleId="UnresolvedMention">
    <w:name w:val="Unresolved Mention"/>
    <w:basedOn w:val="DefaultParagraphFont"/>
    <w:uiPriority w:val="99"/>
    <w:semiHidden/>
    <w:unhideWhenUsed/>
    <w:rsid w:val="000B449B"/>
    <w:rPr>
      <w:color w:val="605E5C"/>
      <w:shd w:val="clear" w:color="auto" w:fill="E1DFDD"/>
    </w:rPr>
  </w:style>
  <w:style w:type="paragraph" w:styleId="EndnoteText">
    <w:name w:val="endnote text"/>
    <w:basedOn w:val="Normal"/>
    <w:link w:val="EndnoteTextChar"/>
    <w:uiPriority w:val="99"/>
    <w:semiHidden/>
    <w:unhideWhenUsed/>
    <w:rsid w:val="0032675D"/>
    <w:pPr>
      <w:spacing w:line="240" w:lineRule="auto"/>
    </w:pPr>
    <w:rPr>
      <w:sz w:val="20"/>
    </w:rPr>
  </w:style>
  <w:style w:type="character" w:customStyle="1" w:styleId="EndnoteTextChar">
    <w:name w:val="Endnote Text Char"/>
    <w:basedOn w:val="DefaultParagraphFont"/>
    <w:link w:val="EndnoteText"/>
    <w:uiPriority w:val="99"/>
    <w:semiHidden/>
    <w:rsid w:val="0032675D"/>
    <w:rPr>
      <w:rFonts w:ascii="Calibri" w:hAnsi="Calibri"/>
      <w:color w:val="000000" w:themeColor="text1"/>
      <w:kern w:val="2"/>
      <w:lang w:val="en-US" w:eastAsia="ja-JP"/>
    </w:rPr>
  </w:style>
  <w:style w:type="character" w:styleId="EndnoteReference">
    <w:name w:val="endnote reference"/>
    <w:basedOn w:val="DefaultParagraphFont"/>
    <w:uiPriority w:val="99"/>
    <w:semiHidden/>
    <w:unhideWhenUsed/>
    <w:rsid w:val="0032675D"/>
    <w:rPr>
      <w:vertAlign w:val="superscript"/>
    </w:rPr>
  </w:style>
  <w:style w:type="paragraph" w:styleId="TableofFigures">
    <w:name w:val="table of figures"/>
    <w:basedOn w:val="Normal"/>
    <w:next w:val="Normal"/>
    <w:uiPriority w:val="99"/>
    <w:unhideWhenUsed/>
    <w:rsid w:val="00953F90"/>
  </w:style>
  <w:style w:type="paragraph" w:customStyle="1" w:styleId="Table-Text">
    <w:name w:val="Table-Text"/>
    <w:basedOn w:val="Normal"/>
    <w:qFormat/>
    <w:rsid w:val="002313BE"/>
    <w:pPr>
      <w:spacing w:line="240" w:lineRule="auto"/>
    </w:pPr>
  </w:style>
  <w:style w:type="paragraph" w:styleId="BodyText">
    <w:name w:val="Body Text"/>
    <w:basedOn w:val="Normal"/>
    <w:link w:val="BodyTextChar"/>
    <w:uiPriority w:val="99"/>
    <w:unhideWhenUsed/>
    <w:locked/>
    <w:rsid w:val="000F6401"/>
    <w:pPr>
      <w:spacing w:after="120"/>
    </w:pPr>
    <w:rPr>
      <w:color w:val="auto"/>
    </w:rPr>
  </w:style>
  <w:style w:type="character" w:customStyle="1" w:styleId="BodyTextChar">
    <w:name w:val="Body Text Char"/>
    <w:basedOn w:val="DefaultParagraphFont"/>
    <w:link w:val="BodyText"/>
    <w:uiPriority w:val="99"/>
    <w:rsid w:val="000F6401"/>
    <w:rPr>
      <w:rFonts w:ascii="Calibri" w:hAnsi="Calibri"/>
      <w:kern w:val="2"/>
      <w:sz w:val="24"/>
      <w:lang w:val="en-US" w:eastAsia="ja-JP"/>
    </w:rPr>
  </w:style>
  <w:style w:type="paragraph" w:customStyle="1" w:styleId="H4">
    <w:name w:val="H4"/>
    <w:basedOn w:val="BodyText"/>
    <w:qFormat/>
    <w:rsid w:val="00A873B7"/>
    <w:pPr>
      <w:spacing w:before="120"/>
    </w:pPr>
    <w:rPr>
      <w:b/>
      <w:bCs/>
    </w:rPr>
  </w:style>
  <w:style w:type="table" w:styleId="GridTable2">
    <w:name w:val="Grid Table 2"/>
    <w:basedOn w:val="TableNormal"/>
    <w:uiPriority w:val="47"/>
    <w:rsid w:val="0067365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F663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F663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E108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E108F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E108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ullet-Numbered">
    <w:name w:val="Bullet-Numbered"/>
    <w:basedOn w:val="Normal"/>
    <w:qFormat/>
    <w:rsid w:val="00D655B8"/>
    <w:pPr>
      <w:numPr>
        <w:numId w:val="45"/>
      </w:numPr>
      <w:tabs>
        <w:tab w:val="left" w:pos="426"/>
      </w:tabs>
      <w:spacing w:after="160"/>
      <w:ind w:left="425" w:hanging="42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1074">
      <w:bodyDiv w:val="1"/>
      <w:marLeft w:val="0"/>
      <w:marRight w:val="0"/>
      <w:marTop w:val="0"/>
      <w:marBottom w:val="0"/>
      <w:divBdr>
        <w:top w:val="none" w:sz="0" w:space="0" w:color="auto"/>
        <w:left w:val="none" w:sz="0" w:space="0" w:color="auto"/>
        <w:bottom w:val="none" w:sz="0" w:space="0" w:color="auto"/>
        <w:right w:val="none" w:sz="0" w:space="0" w:color="auto"/>
      </w:divBdr>
    </w:div>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580475">
      <w:bodyDiv w:val="1"/>
      <w:marLeft w:val="0"/>
      <w:marRight w:val="0"/>
      <w:marTop w:val="0"/>
      <w:marBottom w:val="0"/>
      <w:divBdr>
        <w:top w:val="none" w:sz="0" w:space="0" w:color="auto"/>
        <w:left w:val="none" w:sz="0" w:space="0" w:color="auto"/>
        <w:bottom w:val="none" w:sz="0" w:space="0" w:color="auto"/>
        <w:right w:val="none" w:sz="0" w:space="0" w:color="auto"/>
      </w:divBdr>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hs.sa.gov.au/services/cfss/roadmap"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4.png"/><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FOR\Downloads\Corporate%20Report%20(with%20front%20cover).dotx" TargetMode="External"/></Relationships>
</file>

<file path=word/documenttasks/documenttasks1.xml><?xml version="1.0" encoding="utf-8"?>
<t:Tasks xmlns:t="http://schemas.microsoft.com/office/tasks/2019/documenttasks" xmlns:oel="http://schemas.microsoft.com/office/2019/extlst">
  <t:Task id="{0F553F1F-37B1-4E9C-9CFD-326F870664BC}">
    <t:Anchor>
      <t:Comment id="1097954283"/>
    </t:Anchor>
    <t:History>
      <t:Event id="{5215ACF2-7F7B-4511-82C7-864A9B9D325A}" time="2023-08-16T07:54:06.565Z">
        <t:Attribution userId="S::david.cripps@sa.gov.au::30297254-d99c-4c7e-989c-5b5f3fda10b3" userProvider="AD" userName="Cripps, David (DTF)"/>
        <t:Anchor>
          <t:Comment id="629021479"/>
        </t:Anchor>
        <t:Create/>
      </t:Event>
      <t:Event id="{6A5CEDBD-AEB6-4F63-B55E-7B5DB657B2C3}" time="2023-08-16T07:54:06.565Z">
        <t:Attribution userId="S::david.cripps@sa.gov.au::30297254-d99c-4c7e-989c-5b5f3fda10b3" userProvider="AD" userName="Cripps, David (DTF)"/>
        <t:Anchor>
          <t:Comment id="629021479"/>
        </t:Anchor>
        <t:Assign userId="S::Alana.Buick@sa.gov.au::add58117-4666-49ec-9867-d8742ed51754" userProvider="AD" userName="Buick, Alana (DHS)"/>
      </t:Event>
      <t:Event id="{83C8A051-985C-41BC-8722-CB766B16A042}" time="2023-08-16T07:54:06.565Z">
        <t:Attribution userId="S::david.cripps@sa.gov.au::30297254-d99c-4c7e-989c-5b5f3fda10b3" userProvider="AD" userName="Cripps, David (DTF)"/>
        <t:Anchor>
          <t:Comment id="629021479"/>
        </t:Anchor>
        <t:SetTitle title="@Buick, Alana (DHS) We are in the early stages of standing up a Cwlth State measurement project. I'm hopeful that in future years we will have some longitudinal wider system data. But we don't this year (nor do we have outcome data to report either of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7440d4-59d8-4230-9b04-f0634de3f259">
      <UserInfo>
        <DisplayName>Cripps, David (DTF)</DisplayName>
        <AccountId>16</AccountId>
        <AccountType/>
      </UserInfo>
      <UserInfo>
        <DisplayName>Buick, Alana (DHS)</DisplayName>
        <AccountId>12</AccountId>
        <AccountType/>
      </UserInfo>
      <UserInfo>
        <DisplayName>Beeson, Jared (DHS)</DisplayName>
        <AccountId>14</AccountId>
        <AccountType/>
      </UserInfo>
      <UserInfo>
        <DisplayName>Hoepner, Jacqueline (DCP)</DisplayName>
        <AccountId>21</AccountId>
        <AccountType/>
      </UserInfo>
      <UserInfo>
        <DisplayName>Hurley, Linda (DCP)</DisplayName>
        <AccountId>22</AccountId>
        <AccountType/>
      </UserInfo>
      <UserInfo>
        <DisplayName>Kolarz, Vanessa (DHS)</DisplayName>
        <AccountId>24</AccountId>
        <AccountType/>
      </UserInfo>
      <UserInfo>
        <DisplayName>Perks, Rebecca (DCP)</DisplayName>
        <AccountId>25</AccountId>
        <AccountType/>
      </UserInfo>
      <UserInfo>
        <DisplayName>Powell, Julie (DCP)</DisplayName>
        <AccountId>26</AccountId>
        <AccountType/>
      </UserInfo>
      <UserInfo>
        <DisplayName>Rolls, Louisa (DCP)</DisplayName>
        <AccountId>27</AccountId>
        <AccountType/>
      </UserInfo>
      <UserInfo>
        <DisplayName>Rothwell, Shelley (DCP)</DisplayName>
        <AccountId>28</AccountId>
        <AccountType/>
      </UserInfo>
      <UserInfo>
        <DisplayName>Saunders, Kendra (DCP)</DisplayName>
        <AccountId>29</AccountId>
        <AccountType/>
      </UserInfo>
      <UserInfo>
        <DisplayName>Jenke, Narelle (DHS)</DisplayName>
        <AccountId>30</AccountId>
        <AccountType/>
      </UserInfo>
      <UserInfo>
        <DisplayName>Ford, Sarah (DHS)</DisplayName>
        <AccountId>32</AccountId>
        <AccountType/>
      </UserInfo>
      <UserInfo>
        <DisplayName>Bagling-Jonsson, Malin (DHS)</DisplayName>
        <AccountId>33</AccountId>
        <AccountType/>
      </UserInfo>
      <UserInfo>
        <DisplayName>Parkes, Amy (DHS)</DisplayName>
        <AccountId>34</AccountId>
        <AccountType/>
      </UserInfo>
      <UserInfo>
        <DisplayName>Murray, Charlie (DHS)</DisplayName>
        <AccountId>35</AccountId>
        <AccountType/>
      </UserInfo>
      <UserInfo>
        <DisplayName>Carrangis, Natalie (DHS)</DisplayName>
        <AccountId>40</AccountId>
        <AccountType/>
      </UserInfo>
      <UserInfo>
        <DisplayName>Hofman, Laura (DHS)</DisplayName>
        <AccountId>41</AccountId>
        <AccountType/>
      </UserInfo>
      <UserInfo>
        <DisplayName>Winefield, Matthew (DTF)</DisplayName>
        <AccountId>42</AccountId>
        <AccountType/>
      </UserInfo>
      <UserInfo>
        <DisplayName>Scott, Liam (DTF)</DisplayName>
        <AccountId>43</AccountId>
        <AccountType/>
      </UserInfo>
      <UserInfo>
        <DisplayName>Fleming, Laura (DHS)</DisplayName>
        <AccountId>45</AccountId>
        <AccountType/>
      </UserInfo>
      <UserInfo>
        <DisplayName>Stirling, Hayley (DCP)</DisplayName>
        <AccountId>48</AccountId>
        <AccountType/>
      </UserInfo>
      <UserInfo>
        <DisplayName>Brougham, Mardi (DHS)</DisplayName>
        <AccountId>49</AccountId>
        <AccountType/>
      </UserInfo>
      <UserInfo>
        <DisplayName>Beck, Kerry (DHS)</DisplayName>
        <AccountId>55</AccountId>
        <AccountType/>
      </UserInfo>
      <UserInfo>
        <DisplayName>Pharo, Henry (DHS)</DisplayName>
        <AccountId>52</AccountId>
        <AccountType/>
      </UserInfo>
      <UserInfo>
        <DisplayName>McLean, Kitty (DCP)</DisplayName>
        <AccountId>56</AccountId>
        <AccountType/>
      </UserInfo>
      <UserInfo>
        <DisplayName>Ngo, Lien (DHS)</DisplayName>
        <AccountId>57</AccountId>
        <AccountType/>
      </UserInfo>
      <UserInfo>
        <DisplayName>Segal, Akash (DCP)</DisplayName>
        <AccountId>58</AccountId>
        <AccountType/>
      </UserInfo>
      <UserInfo>
        <DisplayName>Pitcher, Sandy (DHS)</DisplayName>
        <AccountId>59</AccountId>
        <AccountType/>
      </UserInfo>
      <UserInfo>
        <DisplayName>Ryan, Matthew (DTF)</DisplayName>
        <AccountId>60</AccountId>
        <AccountType/>
      </UserInfo>
      <UserInfo>
        <DisplayName>Bennett, Rohan (DCP)</DisplayName>
        <AccountId>61</AccountId>
        <AccountType/>
      </UserInfo>
      <UserInfo>
        <DisplayName>Young, Sarika (DHS)</DisplayName>
        <AccountId>62</AccountId>
        <AccountType/>
      </UserInfo>
      <UserInfo>
        <DisplayName>Bell, Leah (DHS)</DisplayName>
        <AccountId>51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C450A2D3FE384B9332053C4DB2FB6E" ma:contentTypeVersion="5" ma:contentTypeDescription="Create a new document." ma:contentTypeScope="" ma:versionID="3ee63d428701eaf0865d393d45774160">
  <xsd:schema xmlns:xsd="http://www.w3.org/2001/XMLSchema" xmlns:xs="http://www.w3.org/2001/XMLSchema" xmlns:p="http://schemas.microsoft.com/office/2006/metadata/properties" xmlns:ns2="3885189b-d655-4317-8bdf-204ae5bd2f89" xmlns:ns3="977440d4-59d8-4230-9b04-f0634de3f259" targetNamespace="http://schemas.microsoft.com/office/2006/metadata/properties" ma:root="true" ma:fieldsID="f0f81c85db06e4913072eba8cfbdbfe7" ns2:_="" ns3:_="">
    <xsd:import namespace="3885189b-d655-4317-8bdf-204ae5bd2f89"/>
    <xsd:import namespace="977440d4-59d8-4230-9b04-f0634de3f25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5189b-d655-4317-8bdf-204ae5bd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440d4-59d8-4230-9b04-f0634de3f2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0DF6B-9311-4C41-A1EC-F9F0B30D3720}">
  <ds:schemaRefs>
    <ds:schemaRef ds:uri="http://schemas.microsoft.com/sharepoint/v3/contenttype/forms"/>
  </ds:schemaRefs>
</ds:datastoreItem>
</file>

<file path=customXml/itemProps2.xml><?xml version="1.0" encoding="utf-8"?>
<ds:datastoreItem xmlns:ds="http://schemas.openxmlformats.org/officeDocument/2006/customXml" ds:itemID="{D1DFB8FE-7222-4B2D-8CCB-6A699EC34D22}">
  <ds:schemaRefs>
    <ds:schemaRef ds:uri="http://schemas.microsoft.com/office/2006/metadata/properties"/>
    <ds:schemaRef ds:uri="http://schemas.microsoft.com/office/infopath/2007/PartnerControls"/>
    <ds:schemaRef ds:uri="977440d4-59d8-4230-9b04-f0634de3f259"/>
  </ds:schemaRefs>
</ds:datastoreItem>
</file>

<file path=customXml/itemProps3.xml><?xml version="1.0" encoding="utf-8"?>
<ds:datastoreItem xmlns:ds="http://schemas.openxmlformats.org/officeDocument/2006/customXml" ds:itemID="{12E9981B-2FC9-4B72-9CEA-C129FAD93C82}">
  <ds:schemaRefs>
    <ds:schemaRef ds:uri="http://schemas.openxmlformats.org/officeDocument/2006/bibliography"/>
  </ds:schemaRefs>
</ds:datastoreItem>
</file>

<file path=customXml/itemProps4.xml><?xml version="1.0" encoding="utf-8"?>
<ds:datastoreItem xmlns:ds="http://schemas.openxmlformats.org/officeDocument/2006/customXml" ds:itemID="{431A248D-03B8-4374-B273-68F1F5511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5189b-d655-4317-8bdf-204ae5bd2f89"/>
    <ds:schemaRef ds:uri="977440d4-59d8-4230-9b04-f0634de3f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Corporate Report (with front cover).dotx</Template>
  <TotalTime>476</TotalTime>
  <Pages>31</Pages>
  <Words>6941</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Safe and Well - Resilient Families Annual Report 2023</vt:lpstr>
    </vt:vector>
  </TitlesOfParts>
  <Company>Dept. for Communities &amp; Social Inclusion</Company>
  <LinksUpToDate>false</LinksUpToDate>
  <CharactersWithSpaces>46419</CharactersWithSpaces>
  <SharedDoc>false</SharedDoc>
  <HLinks>
    <vt:vector size="198" baseType="variant">
      <vt:variant>
        <vt:i4>4128887</vt:i4>
      </vt:variant>
      <vt:variant>
        <vt:i4>201</vt:i4>
      </vt:variant>
      <vt:variant>
        <vt:i4>0</vt:i4>
      </vt:variant>
      <vt:variant>
        <vt:i4>5</vt:i4>
      </vt:variant>
      <vt:variant>
        <vt:lpwstr>https://dhs.sa.gov.au/services/cfss/roadmap</vt:lpwstr>
      </vt:variant>
      <vt:variant>
        <vt:lpwstr/>
      </vt:variant>
      <vt:variant>
        <vt:i4>1638453</vt:i4>
      </vt:variant>
      <vt:variant>
        <vt:i4>188</vt:i4>
      </vt:variant>
      <vt:variant>
        <vt:i4>0</vt:i4>
      </vt:variant>
      <vt:variant>
        <vt:i4>5</vt:i4>
      </vt:variant>
      <vt:variant>
        <vt:lpwstr/>
      </vt:variant>
      <vt:variant>
        <vt:lpwstr>_Toc145926355</vt:lpwstr>
      </vt:variant>
      <vt:variant>
        <vt:i4>1638453</vt:i4>
      </vt:variant>
      <vt:variant>
        <vt:i4>182</vt:i4>
      </vt:variant>
      <vt:variant>
        <vt:i4>0</vt:i4>
      </vt:variant>
      <vt:variant>
        <vt:i4>5</vt:i4>
      </vt:variant>
      <vt:variant>
        <vt:lpwstr/>
      </vt:variant>
      <vt:variant>
        <vt:lpwstr>_Toc145926354</vt:lpwstr>
      </vt:variant>
      <vt:variant>
        <vt:i4>1638453</vt:i4>
      </vt:variant>
      <vt:variant>
        <vt:i4>176</vt:i4>
      </vt:variant>
      <vt:variant>
        <vt:i4>0</vt:i4>
      </vt:variant>
      <vt:variant>
        <vt:i4>5</vt:i4>
      </vt:variant>
      <vt:variant>
        <vt:lpwstr/>
      </vt:variant>
      <vt:variant>
        <vt:lpwstr>_Toc145926353</vt:lpwstr>
      </vt:variant>
      <vt:variant>
        <vt:i4>1638453</vt:i4>
      </vt:variant>
      <vt:variant>
        <vt:i4>170</vt:i4>
      </vt:variant>
      <vt:variant>
        <vt:i4>0</vt:i4>
      </vt:variant>
      <vt:variant>
        <vt:i4>5</vt:i4>
      </vt:variant>
      <vt:variant>
        <vt:lpwstr/>
      </vt:variant>
      <vt:variant>
        <vt:lpwstr>_Toc145926352</vt:lpwstr>
      </vt:variant>
      <vt:variant>
        <vt:i4>1638453</vt:i4>
      </vt:variant>
      <vt:variant>
        <vt:i4>164</vt:i4>
      </vt:variant>
      <vt:variant>
        <vt:i4>0</vt:i4>
      </vt:variant>
      <vt:variant>
        <vt:i4>5</vt:i4>
      </vt:variant>
      <vt:variant>
        <vt:lpwstr/>
      </vt:variant>
      <vt:variant>
        <vt:lpwstr>_Toc145926351</vt:lpwstr>
      </vt:variant>
      <vt:variant>
        <vt:i4>1638453</vt:i4>
      </vt:variant>
      <vt:variant>
        <vt:i4>158</vt:i4>
      </vt:variant>
      <vt:variant>
        <vt:i4>0</vt:i4>
      </vt:variant>
      <vt:variant>
        <vt:i4>5</vt:i4>
      </vt:variant>
      <vt:variant>
        <vt:lpwstr/>
      </vt:variant>
      <vt:variant>
        <vt:lpwstr>_Toc145926350</vt:lpwstr>
      </vt:variant>
      <vt:variant>
        <vt:i4>1572917</vt:i4>
      </vt:variant>
      <vt:variant>
        <vt:i4>152</vt:i4>
      </vt:variant>
      <vt:variant>
        <vt:i4>0</vt:i4>
      </vt:variant>
      <vt:variant>
        <vt:i4>5</vt:i4>
      </vt:variant>
      <vt:variant>
        <vt:lpwstr/>
      </vt:variant>
      <vt:variant>
        <vt:lpwstr>_Toc145926349</vt:lpwstr>
      </vt:variant>
      <vt:variant>
        <vt:i4>1572917</vt:i4>
      </vt:variant>
      <vt:variant>
        <vt:i4>146</vt:i4>
      </vt:variant>
      <vt:variant>
        <vt:i4>0</vt:i4>
      </vt:variant>
      <vt:variant>
        <vt:i4>5</vt:i4>
      </vt:variant>
      <vt:variant>
        <vt:lpwstr/>
      </vt:variant>
      <vt:variant>
        <vt:lpwstr>_Toc145926348</vt:lpwstr>
      </vt:variant>
      <vt:variant>
        <vt:i4>1572917</vt:i4>
      </vt:variant>
      <vt:variant>
        <vt:i4>140</vt:i4>
      </vt:variant>
      <vt:variant>
        <vt:i4>0</vt:i4>
      </vt:variant>
      <vt:variant>
        <vt:i4>5</vt:i4>
      </vt:variant>
      <vt:variant>
        <vt:lpwstr/>
      </vt:variant>
      <vt:variant>
        <vt:lpwstr>_Toc145926347</vt:lpwstr>
      </vt:variant>
      <vt:variant>
        <vt:i4>1572917</vt:i4>
      </vt:variant>
      <vt:variant>
        <vt:i4>134</vt:i4>
      </vt:variant>
      <vt:variant>
        <vt:i4>0</vt:i4>
      </vt:variant>
      <vt:variant>
        <vt:i4>5</vt:i4>
      </vt:variant>
      <vt:variant>
        <vt:lpwstr/>
      </vt:variant>
      <vt:variant>
        <vt:lpwstr>_Toc145926346</vt:lpwstr>
      </vt:variant>
      <vt:variant>
        <vt:i4>1572917</vt:i4>
      </vt:variant>
      <vt:variant>
        <vt:i4>128</vt:i4>
      </vt:variant>
      <vt:variant>
        <vt:i4>0</vt:i4>
      </vt:variant>
      <vt:variant>
        <vt:i4>5</vt:i4>
      </vt:variant>
      <vt:variant>
        <vt:lpwstr/>
      </vt:variant>
      <vt:variant>
        <vt:lpwstr>_Toc145926345</vt:lpwstr>
      </vt:variant>
      <vt:variant>
        <vt:i4>1572917</vt:i4>
      </vt:variant>
      <vt:variant>
        <vt:i4>122</vt:i4>
      </vt:variant>
      <vt:variant>
        <vt:i4>0</vt:i4>
      </vt:variant>
      <vt:variant>
        <vt:i4>5</vt:i4>
      </vt:variant>
      <vt:variant>
        <vt:lpwstr/>
      </vt:variant>
      <vt:variant>
        <vt:lpwstr>_Toc145926344</vt:lpwstr>
      </vt:variant>
      <vt:variant>
        <vt:i4>1572917</vt:i4>
      </vt:variant>
      <vt:variant>
        <vt:i4>116</vt:i4>
      </vt:variant>
      <vt:variant>
        <vt:i4>0</vt:i4>
      </vt:variant>
      <vt:variant>
        <vt:i4>5</vt:i4>
      </vt:variant>
      <vt:variant>
        <vt:lpwstr/>
      </vt:variant>
      <vt:variant>
        <vt:lpwstr>_Toc145926343</vt:lpwstr>
      </vt:variant>
      <vt:variant>
        <vt:i4>1572917</vt:i4>
      </vt:variant>
      <vt:variant>
        <vt:i4>110</vt:i4>
      </vt:variant>
      <vt:variant>
        <vt:i4>0</vt:i4>
      </vt:variant>
      <vt:variant>
        <vt:i4>5</vt:i4>
      </vt:variant>
      <vt:variant>
        <vt:lpwstr/>
      </vt:variant>
      <vt:variant>
        <vt:lpwstr>_Toc145926342</vt:lpwstr>
      </vt:variant>
      <vt:variant>
        <vt:i4>1572917</vt:i4>
      </vt:variant>
      <vt:variant>
        <vt:i4>104</vt:i4>
      </vt:variant>
      <vt:variant>
        <vt:i4>0</vt:i4>
      </vt:variant>
      <vt:variant>
        <vt:i4>5</vt:i4>
      </vt:variant>
      <vt:variant>
        <vt:lpwstr/>
      </vt:variant>
      <vt:variant>
        <vt:lpwstr>_Toc145926341</vt:lpwstr>
      </vt:variant>
      <vt:variant>
        <vt:i4>1572917</vt:i4>
      </vt:variant>
      <vt:variant>
        <vt:i4>98</vt:i4>
      </vt:variant>
      <vt:variant>
        <vt:i4>0</vt:i4>
      </vt:variant>
      <vt:variant>
        <vt:i4>5</vt:i4>
      </vt:variant>
      <vt:variant>
        <vt:lpwstr/>
      </vt:variant>
      <vt:variant>
        <vt:lpwstr>_Toc145926340</vt:lpwstr>
      </vt:variant>
      <vt:variant>
        <vt:i4>2031669</vt:i4>
      </vt:variant>
      <vt:variant>
        <vt:i4>92</vt:i4>
      </vt:variant>
      <vt:variant>
        <vt:i4>0</vt:i4>
      </vt:variant>
      <vt:variant>
        <vt:i4>5</vt:i4>
      </vt:variant>
      <vt:variant>
        <vt:lpwstr/>
      </vt:variant>
      <vt:variant>
        <vt:lpwstr>_Toc145926339</vt:lpwstr>
      </vt:variant>
      <vt:variant>
        <vt:i4>2031669</vt:i4>
      </vt:variant>
      <vt:variant>
        <vt:i4>86</vt:i4>
      </vt:variant>
      <vt:variant>
        <vt:i4>0</vt:i4>
      </vt:variant>
      <vt:variant>
        <vt:i4>5</vt:i4>
      </vt:variant>
      <vt:variant>
        <vt:lpwstr/>
      </vt:variant>
      <vt:variant>
        <vt:lpwstr>_Toc145926338</vt:lpwstr>
      </vt:variant>
      <vt:variant>
        <vt:i4>2031669</vt:i4>
      </vt:variant>
      <vt:variant>
        <vt:i4>80</vt:i4>
      </vt:variant>
      <vt:variant>
        <vt:i4>0</vt:i4>
      </vt:variant>
      <vt:variant>
        <vt:i4>5</vt:i4>
      </vt:variant>
      <vt:variant>
        <vt:lpwstr/>
      </vt:variant>
      <vt:variant>
        <vt:lpwstr>_Toc145926337</vt:lpwstr>
      </vt:variant>
      <vt:variant>
        <vt:i4>2031669</vt:i4>
      </vt:variant>
      <vt:variant>
        <vt:i4>74</vt:i4>
      </vt:variant>
      <vt:variant>
        <vt:i4>0</vt:i4>
      </vt:variant>
      <vt:variant>
        <vt:i4>5</vt:i4>
      </vt:variant>
      <vt:variant>
        <vt:lpwstr/>
      </vt:variant>
      <vt:variant>
        <vt:lpwstr>_Toc145926336</vt:lpwstr>
      </vt:variant>
      <vt:variant>
        <vt:i4>2031669</vt:i4>
      </vt:variant>
      <vt:variant>
        <vt:i4>68</vt:i4>
      </vt:variant>
      <vt:variant>
        <vt:i4>0</vt:i4>
      </vt:variant>
      <vt:variant>
        <vt:i4>5</vt:i4>
      </vt:variant>
      <vt:variant>
        <vt:lpwstr/>
      </vt:variant>
      <vt:variant>
        <vt:lpwstr>_Toc145926335</vt:lpwstr>
      </vt:variant>
      <vt:variant>
        <vt:i4>2031669</vt:i4>
      </vt:variant>
      <vt:variant>
        <vt:i4>62</vt:i4>
      </vt:variant>
      <vt:variant>
        <vt:i4>0</vt:i4>
      </vt:variant>
      <vt:variant>
        <vt:i4>5</vt:i4>
      </vt:variant>
      <vt:variant>
        <vt:lpwstr/>
      </vt:variant>
      <vt:variant>
        <vt:lpwstr>_Toc145926334</vt:lpwstr>
      </vt:variant>
      <vt:variant>
        <vt:i4>2031669</vt:i4>
      </vt:variant>
      <vt:variant>
        <vt:i4>56</vt:i4>
      </vt:variant>
      <vt:variant>
        <vt:i4>0</vt:i4>
      </vt:variant>
      <vt:variant>
        <vt:i4>5</vt:i4>
      </vt:variant>
      <vt:variant>
        <vt:lpwstr/>
      </vt:variant>
      <vt:variant>
        <vt:lpwstr>_Toc145926333</vt:lpwstr>
      </vt:variant>
      <vt:variant>
        <vt:i4>2031669</vt:i4>
      </vt:variant>
      <vt:variant>
        <vt:i4>50</vt:i4>
      </vt:variant>
      <vt:variant>
        <vt:i4>0</vt:i4>
      </vt:variant>
      <vt:variant>
        <vt:i4>5</vt:i4>
      </vt:variant>
      <vt:variant>
        <vt:lpwstr/>
      </vt:variant>
      <vt:variant>
        <vt:lpwstr>_Toc145926332</vt:lpwstr>
      </vt:variant>
      <vt:variant>
        <vt:i4>2031669</vt:i4>
      </vt:variant>
      <vt:variant>
        <vt:i4>44</vt:i4>
      </vt:variant>
      <vt:variant>
        <vt:i4>0</vt:i4>
      </vt:variant>
      <vt:variant>
        <vt:i4>5</vt:i4>
      </vt:variant>
      <vt:variant>
        <vt:lpwstr/>
      </vt:variant>
      <vt:variant>
        <vt:lpwstr>_Toc145926331</vt:lpwstr>
      </vt:variant>
      <vt:variant>
        <vt:i4>2031669</vt:i4>
      </vt:variant>
      <vt:variant>
        <vt:i4>38</vt:i4>
      </vt:variant>
      <vt:variant>
        <vt:i4>0</vt:i4>
      </vt:variant>
      <vt:variant>
        <vt:i4>5</vt:i4>
      </vt:variant>
      <vt:variant>
        <vt:lpwstr/>
      </vt:variant>
      <vt:variant>
        <vt:lpwstr>_Toc145926330</vt:lpwstr>
      </vt:variant>
      <vt:variant>
        <vt:i4>1966133</vt:i4>
      </vt:variant>
      <vt:variant>
        <vt:i4>32</vt:i4>
      </vt:variant>
      <vt:variant>
        <vt:i4>0</vt:i4>
      </vt:variant>
      <vt:variant>
        <vt:i4>5</vt:i4>
      </vt:variant>
      <vt:variant>
        <vt:lpwstr/>
      </vt:variant>
      <vt:variant>
        <vt:lpwstr>_Toc145926329</vt:lpwstr>
      </vt:variant>
      <vt:variant>
        <vt:i4>1966133</vt:i4>
      </vt:variant>
      <vt:variant>
        <vt:i4>26</vt:i4>
      </vt:variant>
      <vt:variant>
        <vt:i4>0</vt:i4>
      </vt:variant>
      <vt:variant>
        <vt:i4>5</vt:i4>
      </vt:variant>
      <vt:variant>
        <vt:lpwstr/>
      </vt:variant>
      <vt:variant>
        <vt:lpwstr>_Toc145926328</vt:lpwstr>
      </vt:variant>
      <vt:variant>
        <vt:i4>1966133</vt:i4>
      </vt:variant>
      <vt:variant>
        <vt:i4>20</vt:i4>
      </vt:variant>
      <vt:variant>
        <vt:i4>0</vt:i4>
      </vt:variant>
      <vt:variant>
        <vt:i4>5</vt:i4>
      </vt:variant>
      <vt:variant>
        <vt:lpwstr/>
      </vt:variant>
      <vt:variant>
        <vt:lpwstr>_Toc145926327</vt:lpwstr>
      </vt:variant>
      <vt:variant>
        <vt:i4>1966133</vt:i4>
      </vt:variant>
      <vt:variant>
        <vt:i4>14</vt:i4>
      </vt:variant>
      <vt:variant>
        <vt:i4>0</vt:i4>
      </vt:variant>
      <vt:variant>
        <vt:i4>5</vt:i4>
      </vt:variant>
      <vt:variant>
        <vt:lpwstr/>
      </vt:variant>
      <vt:variant>
        <vt:lpwstr>_Toc145926326</vt:lpwstr>
      </vt:variant>
      <vt:variant>
        <vt:i4>1966133</vt:i4>
      </vt:variant>
      <vt:variant>
        <vt:i4>8</vt:i4>
      </vt:variant>
      <vt:variant>
        <vt:i4>0</vt:i4>
      </vt:variant>
      <vt:variant>
        <vt:i4>5</vt:i4>
      </vt:variant>
      <vt:variant>
        <vt:lpwstr/>
      </vt:variant>
      <vt:variant>
        <vt:lpwstr>_Toc145926325</vt:lpwstr>
      </vt:variant>
      <vt:variant>
        <vt:i4>1966133</vt:i4>
      </vt:variant>
      <vt:variant>
        <vt:i4>2</vt:i4>
      </vt:variant>
      <vt:variant>
        <vt:i4>0</vt:i4>
      </vt:variant>
      <vt:variant>
        <vt:i4>5</vt:i4>
      </vt:variant>
      <vt:variant>
        <vt:lpwstr/>
      </vt:variant>
      <vt:variant>
        <vt:lpwstr>_Toc145926324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Well - Resilient Families Annual Report 2023</dc:title>
  <dc:subject/>
  <dc:creator>Microsoft Office User</dc:creator>
  <cp:keywords/>
  <cp:lastModifiedBy>Edwards, Stephanie (DHS)</cp:lastModifiedBy>
  <cp:revision>63</cp:revision>
  <cp:lastPrinted>2023-09-12T13:00:00Z</cp:lastPrinted>
  <dcterms:created xsi:type="dcterms:W3CDTF">2023-12-11T01:09:00Z</dcterms:created>
  <dcterms:modified xsi:type="dcterms:W3CDTF">2023-12-13T23:49:00Z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0x01010069C450A2D3FE384B9332053C4DB2FB6E</vt:lpwstr>
  </property>
  <property fmtid="{D5CDD505-2E9C-101B-9397-08002B2CF9AE}" pid="4" name="_dlc_DocIdItemGuid">
    <vt:lpwstr>206a45ed-f2d2-4ae2-aa23-11bdad103ed1</vt:lpwstr>
  </property>
  <property fmtid="{D5CDD505-2E9C-101B-9397-08002B2CF9AE}" pid="5" name="Order">
    <vt:r8>131700</vt:r8>
  </property>
  <property fmtid="{D5CDD505-2E9C-101B-9397-08002B2CF9AE}" pid="6" name="_ExtendedDescription">
    <vt:lpwstr/>
  </property>
  <property fmtid="{D5CDD505-2E9C-101B-9397-08002B2CF9AE}" pid="7" name="ComplianceAssetId">
    <vt:lpwstr/>
  </property>
  <property fmtid="{D5CDD505-2E9C-101B-9397-08002B2CF9AE}" pid="8" name="ClassificationContentMarkingHeaderShapeIds">
    <vt:lpwstr>1,3,4,5,6,7</vt:lpwstr>
  </property>
  <property fmtid="{D5CDD505-2E9C-101B-9397-08002B2CF9AE}" pid="9" name="ClassificationContentMarkingHeaderFontProps">
    <vt:lpwstr>#a80000,12,Calibri</vt:lpwstr>
  </property>
  <property fmtid="{D5CDD505-2E9C-101B-9397-08002B2CF9AE}" pid="10" name="ClassificationContentMarkingHeaderText">
    <vt:lpwstr>OFFICIAL</vt:lpwstr>
  </property>
  <property fmtid="{D5CDD505-2E9C-101B-9397-08002B2CF9AE}" pid="11" name="MSIP_Label_77274858-3b1d-4431-8679-d878f40e28fd_Enabled">
    <vt:lpwstr>true</vt:lpwstr>
  </property>
  <property fmtid="{D5CDD505-2E9C-101B-9397-08002B2CF9AE}" pid="12" name="MSIP_Label_77274858-3b1d-4431-8679-d878f40e28fd_SetDate">
    <vt:lpwstr>2021-08-31T00:08:53Z</vt:lpwstr>
  </property>
  <property fmtid="{D5CDD505-2E9C-101B-9397-08002B2CF9AE}" pid="13" name="MSIP_Label_77274858-3b1d-4431-8679-d878f40e28fd_Method">
    <vt:lpwstr>Privileged</vt:lpwstr>
  </property>
  <property fmtid="{D5CDD505-2E9C-101B-9397-08002B2CF9AE}" pid="14" name="MSIP_Label_77274858-3b1d-4431-8679-d878f40e28fd_Name">
    <vt:lpwstr>-Official</vt:lpwstr>
  </property>
  <property fmtid="{D5CDD505-2E9C-101B-9397-08002B2CF9AE}" pid="15" name="MSIP_Label_77274858-3b1d-4431-8679-d878f40e28fd_SiteId">
    <vt:lpwstr>bda528f7-fca9-432f-bc98-bd7e90d40906</vt:lpwstr>
  </property>
  <property fmtid="{D5CDD505-2E9C-101B-9397-08002B2CF9AE}" pid="16" name="MSIP_Label_77274858-3b1d-4431-8679-d878f40e28fd_ActionId">
    <vt:lpwstr>29d51209-beae-434e-bc10-790218752ce3</vt:lpwstr>
  </property>
  <property fmtid="{D5CDD505-2E9C-101B-9397-08002B2CF9AE}" pid="17" name="MSIP_Label_77274858-3b1d-4431-8679-d878f40e28fd_ContentBits">
    <vt:lpwstr>1</vt:lpwstr>
  </property>
  <property fmtid="{D5CDD505-2E9C-101B-9397-08002B2CF9AE}" pid="18" name="xd_Signature">
    <vt:bool>false</vt:bool>
  </property>
  <property fmtid="{D5CDD505-2E9C-101B-9397-08002B2CF9AE}" pid="19" name="xd_ProgID">
    <vt:lpwstr/>
  </property>
  <property fmtid="{D5CDD505-2E9C-101B-9397-08002B2CF9AE}" pid="20" name="TemplateUrl">
    <vt:lpwstr/>
  </property>
  <property fmtid="{D5CDD505-2E9C-101B-9397-08002B2CF9AE}" pid="21" name="TriggerFlowInfo">
    <vt:lpwstr/>
  </property>
</Properties>
</file>