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608D" w14:textId="77777777" w:rsidR="00AC6365" w:rsidRPr="00AC6365" w:rsidRDefault="00AC6365" w:rsidP="00AC6365">
      <w:pPr>
        <w:rPr>
          <w:b/>
          <w:bCs/>
          <w:color w:val="008087"/>
          <w:sz w:val="44"/>
          <w:szCs w:val="44"/>
        </w:rPr>
      </w:pPr>
      <w:r w:rsidRPr="00AC6365">
        <w:rPr>
          <w:b/>
          <w:bCs/>
          <w:color w:val="008087"/>
          <w:sz w:val="44"/>
          <w:szCs w:val="44"/>
        </w:rPr>
        <w:t>Department of Human Services</w:t>
      </w:r>
      <w:r w:rsidRPr="00AC6365">
        <w:rPr>
          <w:b/>
          <w:bCs/>
          <w:color w:val="008087"/>
          <w:sz w:val="44"/>
          <w:szCs w:val="44"/>
        </w:rPr>
        <w:t xml:space="preserve"> </w:t>
      </w:r>
    </w:p>
    <w:p w14:paraId="5599EBA1" w14:textId="7B91CED3" w:rsidR="003474FF" w:rsidRDefault="00AC6365" w:rsidP="00AC6365">
      <w:pPr>
        <w:rPr>
          <w:b/>
          <w:bCs/>
          <w:color w:val="008087"/>
          <w:sz w:val="44"/>
          <w:szCs w:val="44"/>
        </w:rPr>
      </w:pPr>
      <w:r w:rsidRPr="00AC6365">
        <w:rPr>
          <w:b/>
          <w:bCs/>
          <w:color w:val="008087"/>
          <w:sz w:val="44"/>
          <w:szCs w:val="44"/>
        </w:rPr>
        <w:t>Graduate</w:t>
      </w:r>
      <w:r w:rsidRPr="00AC6365">
        <w:rPr>
          <w:b/>
          <w:bCs/>
          <w:color w:val="008087"/>
          <w:sz w:val="44"/>
          <w:szCs w:val="44"/>
        </w:rPr>
        <w:t xml:space="preserve"> </w:t>
      </w:r>
      <w:r w:rsidRPr="00AC6365">
        <w:rPr>
          <w:b/>
          <w:bCs/>
          <w:color w:val="008087"/>
          <w:sz w:val="44"/>
          <w:szCs w:val="44"/>
        </w:rPr>
        <w:t>Program</w:t>
      </w:r>
      <w:r w:rsidRPr="00AC6365">
        <w:rPr>
          <w:b/>
          <w:bCs/>
          <w:color w:val="008087"/>
          <w:sz w:val="44"/>
          <w:szCs w:val="44"/>
        </w:rPr>
        <w:t xml:space="preserve"> - </w:t>
      </w:r>
      <w:r w:rsidRPr="00AC6365">
        <w:rPr>
          <w:b/>
          <w:bCs/>
          <w:color w:val="008087"/>
          <w:sz w:val="44"/>
          <w:szCs w:val="44"/>
        </w:rPr>
        <w:t>Join our team!</w:t>
      </w:r>
    </w:p>
    <w:p w14:paraId="65D79415" w14:textId="77777777" w:rsidR="00A6250F" w:rsidRPr="00AC6365" w:rsidRDefault="00A6250F" w:rsidP="00AC6365">
      <w:pPr>
        <w:rPr>
          <w:b/>
          <w:bCs/>
          <w:color w:val="008087"/>
          <w:sz w:val="44"/>
          <w:szCs w:val="44"/>
        </w:rPr>
      </w:pPr>
    </w:p>
    <w:p w14:paraId="6A7B0453" w14:textId="7A4BB1F9" w:rsidR="00AC6365" w:rsidRPr="00AC6365" w:rsidRDefault="00AC6365" w:rsidP="00AC6365">
      <w:pPr>
        <w:pStyle w:val="Heading1"/>
        <w:rPr>
          <w:color w:val="008087"/>
        </w:rPr>
      </w:pPr>
      <w:bookmarkStart w:id="0" w:name="_Toc191994452"/>
      <w:r w:rsidRPr="00AC6365">
        <w:rPr>
          <w:color w:val="008087"/>
        </w:rPr>
        <w:t>Acknowledgement</w:t>
      </w:r>
      <w:r w:rsidRPr="00AC6365">
        <w:rPr>
          <w:color w:val="008087"/>
        </w:rPr>
        <w:t xml:space="preserve"> </w:t>
      </w:r>
      <w:r w:rsidRPr="00AC6365">
        <w:rPr>
          <w:color w:val="008087"/>
        </w:rPr>
        <w:t>of Country</w:t>
      </w:r>
      <w:bookmarkEnd w:id="0"/>
    </w:p>
    <w:p w14:paraId="5275C216" w14:textId="77777777" w:rsidR="00AC6365" w:rsidRDefault="00AC6365" w:rsidP="00AC6365">
      <w:r>
        <w:t xml:space="preserve">We acknowledge and respect Aboriginal peoples as the state’s first peoples and </w:t>
      </w:r>
      <w:proofErr w:type="gramStart"/>
      <w:r>
        <w:t>nations, and</w:t>
      </w:r>
      <w:proofErr w:type="gramEnd"/>
      <w:r>
        <w:t xml:space="preserve"> recognise them as traditional owners and occupants of land and waters in South Australia.</w:t>
      </w:r>
    </w:p>
    <w:p w14:paraId="6C0BDB42" w14:textId="0AA3B8B6" w:rsidR="00AC6365" w:rsidRDefault="00AC6365" w:rsidP="00AC6365">
      <w:r>
        <w:t>Further, we acknowledge that the spiritual, social, cultural and economic practices of Aboriginal peoples come from their traditional lands and waters, that they maintain their cultural and heritage beliefs, languages and laws which are of ongoing importance, and that they have made and continue to make a unique and irreplaceable contribution to the state.</w:t>
      </w:r>
    </w:p>
    <w:p w14:paraId="6B728E33" w14:textId="5A9CD6BA" w:rsidR="00987015" w:rsidRPr="00987015" w:rsidRDefault="00987015" w:rsidP="00987015">
      <w:pPr>
        <w:pStyle w:val="Heading1"/>
        <w:rPr>
          <w:color w:val="008087"/>
        </w:rPr>
      </w:pPr>
      <w:r w:rsidRPr="00987015">
        <w:rPr>
          <w:color w:val="008087"/>
        </w:rPr>
        <w:t>Table of Contents</w:t>
      </w:r>
    </w:p>
    <w:p w14:paraId="40121CFE" w14:textId="771BF958" w:rsidR="00987015" w:rsidRDefault="00987015">
      <w:pPr>
        <w:pStyle w:val="TOC1"/>
        <w:tabs>
          <w:tab w:val="right" w:pos="9016"/>
        </w:tabs>
        <w:rPr>
          <w:noProof/>
        </w:rPr>
      </w:pPr>
      <w:r>
        <w:fldChar w:fldCharType="begin"/>
      </w:r>
      <w:r>
        <w:instrText xml:space="preserve"> TOC \o "1-3" \h \z \u </w:instrText>
      </w:r>
      <w:r>
        <w:fldChar w:fldCharType="separate"/>
      </w:r>
      <w:hyperlink w:anchor="_Toc191994452" w:history="1">
        <w:r w:rsidRPr="00E42F6F">
          <w:rPr>
            <w:rStyle w:val="Hyperlink"/>
            <w:noProof/>
          </w:rPr>
          <w:t>Acknowledgement of Country</w:t>
        </w:r>
        <w:r>
          <w:rPr>
            <w:noProof/>
            <w:webHidden/>
          </w:rPr>
          <w:tab/>
        </w:r>
        <w:r>
          <w:rPr>
            <w:noProof/>
            <w:webHidden/>
          </w:rPr>
          <w:fldChar w:fldCharType="begin"/>
        </w:r>
        <w:r>
          <w:rPr>
            <w:noProof/>
            <w:webHidden/>
          </w:rPr>
          <w:instrText xml:space="preserve"> PAGEREF _Toc191994452 \h </w:instrText>
        </w:r>
        <w:r>
          <w:rPr>
            <w:noProof/>
            <w:webHidden/>
          </w:rPr>
        </w:r>
        <w:r>
          <w:rPr>
            <w:noProof/>
            <w:webHidden/>
          </w:rPr>
          <w:fldChar w:fldCharType="separate"/>
        </w:r>
        <w:r>
          <w:rPr>
            <w:noProof/>
            <w:webHidden/>
          </w:rPr>
          <w:t>1</w:t>
        </w:r>
        <w:r>
          <w:rPr>
            <w:noProof/>
            <w:webHidden/>
          </w:rPr>
          <w:fldChar w:fldCharType="end"/>
        </w:r>
      </w:hyperlink>
    </w:p>
    <w:p w14:paraId="11EF222E" w14:textId="4478FA0A" w:rsidR="00987015" w:rsidRDefault="00987015">
      <w:pPr>
        <w:pStyle w:val="TOC1"/>
        <w:tabs>
          <w:tab w:val="right" w:pos="9016"/>
        </w:tabs>
        <w:rPr>
          <w:noProof/>
        </w:rPr>
      </w:pPr>
      <w:hyperlink w:anchor="_Toc191994453" w:history="1">
        <w:r w:rsidRPr="00E42F6F">
          <w:rPr>
            <w:rStyle w:val="Hyperlink"/>
            <w:noProof/>
          </w:rPr>
          <w:t>Message from the Chief Executive</w:t>
        </w:r>
        <w:r>
          <w:rPr>
            <w:noProof/>
            <w:webHidden/>
          </w:rPr>
          <w:tab/>
        </w:r>
        <w:r>
          <w:rPr>
            <w:noProof/>
            <w:webHidden/>
          </w:rPr>
          <w:fldChar w:fldCharType="begin"/>
        </w:r>
        <w:r>
          <w:rPr>
            <w:noProof/>
            <w:webHidden/>
          </w:rPr>
          <w:instrText xml:space="preserve"> PAGEREF _Toc191994453 \h </w:instrText>
        </w:r>
        <w:r>
          <w:rPr>
            <w:noProof/>
            <w:webHidden/>
          </w:rPr>
        </w:r>
        <w:r>
          <w:rPr>
            <w:noProof/>
            <w:webHidden/>
          </w:rPr>
          <w:fldChar w:fldCharType="separate"/>
        </w:r>
        <w:r>
          <w:rPr>
            <w:noProof/>
            <w:webHidden/>
          </w:rPr>
          <w:t>2</w:t>
        </w:r>
        <w:r>
          <w:rPr>
            <w:noProof/>
            <w:webHidden/>
          </w:rPr>
          <w:fldChar w:fldCharType="end"/>
        </w:r>
      </w:hyperlink>
    </w:p>
    <w:p w14:paraId="1DFEF363" w14:textId="532AD79B" w:rsidR="00987015" w:rsidRDefault="00987015">
      <w:pPr>
        <w:pStyle w:val="TOC1"/>
        <w:tabs>
          <w:tab w:val="right" w:pos="9016"/>
        </w:tabs>
        <w:rPr>
          <w:noProof/>
        </w:rPr>
      </w:pPr>
      <w:hyperlink w:anchor="_Toc191994454" w:history="1">
        <w:r w:rsidRPr="00E42F6F">
          <w:rPr>
            <w:rStyle w:val="Hyperlink"/>
            <w:noProof/>
          </w:rPr>
          <w:t>What we do and how</w:t>
        </w:r>
        <w:r>
          <w:rPr>
            <w:noProof/>
            <w:webHidden/>
          </w:rPr>
          <w:tab/>
        </w:r>
        <w:r>
          <w:rPr>
            <w:noProof/>
            <w:webHidden/>
          </w:rPr>
          <w:fldChar w:fldCharType="begin"/>
        </w:r>
        <w:r>
          <w:rPr>
            <w:noProof/>
            <w:webHidden/>
          </w:rPr>
          <w:instrText xml:space="preserve"> PAGEREF _Toc191994454 \h </w:instrText>
        </w:r>
        <w:r>
          <w:rPr>
            <w:noProof/>
            <w:webHidden/>
          </w:rPr>
        </w:r>
        <w:r>
          <w:rPr>
            <w:noProof/>
            <w:webHidden/>
          </w:rPr>
          <w:fldChar w:fldCharType="separate"/>
        </w:r>
        <w:r>
          <w:rPr>
            <w:noProof/>
            <w:webHidden/>
          </w:rPr>
          <w:t>3</w:t>
        </w:r>
        <w:r>
          <w:rPr>
            <w:noProof/>
            <w:webHidden/>
          </w:rPr>
          <w:fldChar w:fldCharType="end"/>
        </w:r>
      </w:hyperlink>
    </w:p>
    <w:p w14:paraId="58CBEB0A" w14:textId="22361542" w:rsidR="00987015" w:rsidRDefault="00987015">
      <w:pPr>
        <w:pStyle w:val="TOC2"/>
        <w:tabs>
          <w:tab w:val="right" w:pos="9016"/>
        </w:tabs>
        <w:rPr>
          <w:noProof/>
        </w:rPr>
      </w:pPr>
      <w:hyperlink w:anchor="_Toc191994455" w:history="1">
        <w:r w:rsidRPr="00E42F6F">
          <w:rPr>
            <w:rStyle w:val="Hyperlink"/>
            <w:noProof/>
          </w:rPr>
          <w:t>Priority 1</w:t>
        </w:r>
        <w:r>
          <w:rPr>
            <w:noProof/>
            <w:webHidden/>
          </w:rPr>
          <w:tab/>
        </w:r>
        <w:r>
          <w:rPr>
            <w:noProof/>
            <w:webHidden/>
          </w:rPr>
          <w:fldChar w:fldCharType="begin"/>
        </w:r>
        <w:r>
          <w:rPr>
            <w:noProof/>
            <w:webHidden/>
          </w:rPr>
          <w:instrText xml:space="preserve"> PAGEREF _Toc191994455 \h </w:instrText>
        </w:r>
        <w:r>
          <w:rPr>
            <w:noProof/>
            <w:webHidden/>
          </w:rPr>
        </w:r>
        <w:r>
          <w:rPr>
            <w:noProof/>
            <w:webHidden/>
          </w:rPr>
          <w:fldChar w:fldCharType="separate"/>
        </w:r>
        <w:r>
          <w:rPr>
            <w:noProof/>
            <w:webHidden/>
          </w:rPr>
          <w:t>3</w:t>
        </w:r>
        <w:r>
          <w:rPr>
            <w:noProof/>
            <w:webHidden/>
          </w:rPr>
          <w:fldChar w:fldCharType="end"/>
        </w:r>
      </w:hyperlink>
    </w:p>
    <w:p w14:paraId="2204C2D0" w14:textId="71B17AA3" w:rsidR="00987015" w:rsidRDefault="00987015">
      <w:pPr>
        <w:pStyle w:val="TOC2"/>
        <w:tabs>
          <w:tab w:val="right" w:pos="9016"/>
        </w:tabs>
        <w:rPr>
          <w:noProof/>
        </w:rPr>
      </w:pPr>
      <w:hyperlink w:anchor="_Toc191994456" w:history="1">
        <w:r w:rsidRPr="00E42F6F">
          <w:rPr>
            <w:rStyle w:val="Hyperlink"/>
            <w:noProof/>
          </w:rPr>
          <w:t>Priority 2</w:t>
        </w:r>
        <w:r>
          <w:rPr>
            <w:noProof/>
            <w:webHidden/>
          </w:rPr>
          <w:tab/>
        </w:r>
        <w:r>
          <w:rPr>
            <w:noProof/>
            <w:webHidden/>
          </w:rPr>
          <w:fldChar w:fldCharType="begin"/>
        </w:r>
        <w:r>
          <w:rPr>
            <w:noProof/>
            <w:webHidden/>
          </w:rPr>
          <w:instrText xml:space="preserve"> PAGEREF _Toc191994456 \h </w:instrText>
        </w:r>
        <w:r>
          <w:rPr>
            <w:noProof/>
            <w:webHidden/>
          </w:rPr>
        </w:r>
        <w:r>
          <w:rPr>
            <w:noProof/>
            <w:webHidden/>
          </w:rPr>
          <w:fldChar w:fldCharType="separate"/>
        </w:r>
        <w:r>
          <w:rPr>
            <w:noProof/>
            <w:webHidden/>
          </w:rPr>
          <w:t>3</w:t>
        </w:r>
        <w:r>
          <w:rPr>
            <w:noProof/>
            <w:webHidden/>
          </w:rPr>
          <w:fldChar w:fldCharType="end"/>
        </w:r>
      </w:hyperlink>
    </w:p>
    <w:p w14:paraId="2BB279C9" w14:textId="037A8B47" w:rsidR="00987015" w:rsidRDefault="00987015">
      <w:pPr>
        <w:pStyle w:val="TOC2"/>
        <w:tabs>
          <w:tab w:val="right" w:pos="9016"/>
        </w:tabs>
        <w:rPr>
          <w:noProof/>
        </w:rPr>
      </w:pPr>
      <w:hyperlink w:anchor="_Toc191994457" w:history="1">
        <w:r w:rsidRPr="00E42F6F">
          <w:rPr>
            <w:rStyle w:val="Hyperlink"/>
            <w:noProof/>
          </w:rPr>
          <w:t>Priority 3</w:t>
        </w:r>
        <w:r>
          <w:rPr>
            <w:noProof/>
            <w:webHidden/>
          </w:rPr>
          <w:tab/>
        </w:r>
        <w:r>
          <w:rPr>
            <w:noProof/>
            <w:webHidden/>
          </w:rPr>
          <w:fldChar w:fldCharType="begin"/>
        </w:r>
        <w:r>
          <w:rPr>
            <w:noProof/>
            <w:webHidden/>
          </w:rPr>
          <w:instrText xml:space="preserve"> PAGEREF _Toc191994457 \h </w:instrText>
        </w:r>
        <w:r>
          <w:rPr>
            <w:noProof/>
            <w:webHidden/>
          </w:rPr>
        </w:r>
        <w:r>
          <w:rPr>
            <w:noProof/>
            <w:webHidden/>
          </w:rPr>
          <w:fldChar w:fldCharType="separate"/>
        </w:r>
        <w:r>
          <w:rPr>
            <w:noProof/>
            <w:webHidden/>
          </w:rPr>
          <w:t>3</w:t>
        </w:r>
        <w:r>
          <w:rPr>
            <w:noProof/>
            <w:webHidden/>
          </w:rPr>
          <w:fldChar w:fldCharType="end"/>
        </w:r>
      </w:hyperlink>
    </w:p>
    <w:p w14:paraId="78F6CDC9" w14:textId="5698EAF3" w:rsidR="00987015" w:rsidRDefault="00987015">
      <w:pPr>
        <w:pStyle w:val="TOC2"/>
        <w:tabs>
          <w:tab w:val="right" w:pos="9016"/>
        </w:tabs>
        <w:rPr>
          <w:noProof/>
        </w:rPr>
      </w:pPr>
      <w:hyperlink w:anchor="_Toc191994458" w:history="1">
        <w:r w:rsidRPr="00E42F6F">
          <w:rPr>
            <w:rStyle w:val="Hyperlink"/>
            <w:noProof/>
          </w:rPr>
          <w:t>Keys to our success</w:t>
        </w:r>
        <w:r>
          <w:rPr>
            <w:noProof/>
            <w:webHidden/>
          </w:rPr>
          <w:tab/>
        </w:r>
        <w:r>
          <w:rPr>
            <w:noProof/>
            <w:webHidden/>
          </w:rPr>
          <w:fldChar w:fldCharType="begin"/>
        </w:r>
        <w:r>
          <w:rPr>
            <w:noProof/>
            <w:webHidden/>
          </w:rPr>
          <w:instrText xml:space="preserve"> PAGEREF _Toc191994458 \h </w:instrText>
        </w:r>
        <w:r>
          <w:rPr>
            <w:noProof/>
            <w:webHidden/>
          </w:rPr>
        </w:r>
        <w:r>
          <w:rPr>
            <w:noProof/>
            <w:webHidden/>
          </w:rPr>
          <w:fldChar w:fldCharType="separate"/>
        </w:r>
        <w:r>
          <w:rPr>
            <w:noProof/>
            <w:webHidden/>
          </w:rPr>
          <w:t>3</w:t>
        </w:r>
        <w:r>
          <w:rPr>
            <w:noProof/>
            <w:webHidden/>
          </w:rPr>
          <w:fldChar w:fldCharType="end"/>
        </w:r>
      </w:hyperlink>
    </w:p>
    <w:p w14:paraId="2F4199F2" w14:textId="2BB927ED" w:rsidR="00987015" w:rsidRDefault="00987015">
      <w:pPr>
        <w:pStyle w:val="TOC1"/>
        <w:tabs>
          <w:tab w:val="right" w:pos="9016"/>
        </w:tabs>
        <w:rPr>
          <w:noProof/>
        </w:rPr>
      </w:pPr>
      <w:hyperlink w:anchor="_Toc191994459" w:history="1">
        <w:r w:rsidRPr="00E42F6F">
          <w:rPr>
            <w:rStyle w:val="Hyperlink"/>
            <w:noProof/>
          </w:rPr>
          <w:t>What does the DHS Graduate program offer?</w:t>
        </w:r>
        <w:r>
          <w:rPr>
            <w:noProof/>
            <w:webHidden/>
          </w:rPr>
          <w:tab/>
        </w:r>
        <w:r>
          <w:rPr>
            <w:noProof/>
            <w:webHidden/>
          </w:rPr>
          <w:fldChar w:fldCharType="begin"/>
        </w:r>
        <w:r>
          <w:rPr>
            <w:noProof/>
            <w:webHidden/>
          </w:rPr>
          <w:instrText xml:space="preserve"> PAGEREF _Toc191994459 \h </w:instrText>
        </w:r>
        <w:r>
          <w:rPr>
            <w:noProof/>
            <w:webHidden/>
          </w:rPr>
        </w:r>
        <w:r>
          <w:rPr>
            <w:noProof/>
            <w:webHidden/>
          </w:rPr>
          <w:fldChar w:fldCharType="separate"/>
        </w:r>
        <w:r>
          <w:rPr>
            <w:noProof/>
            <w:webHidden/>
          </w:rPr>
          <w:t>3</w:t>
        </w:r>
        <w:r>
          <w:rPr>
            <w:noProof/>
            <w:webHidden/>
          </w:rPr>
          <w:fldChar w:fldCharType="end"/>
        </w:r>
      </w:hyperlink>
    </w:p>
    <w:p w14:paraId="02BBB18F" w14:textId="4EE3D1D3" w:rsidR="00987015" w:rsidRDefault="00987015">
      <w:pPr>
        <w:pStyle w:val="TOC1"/>
        <w:tabs>
          <w:tab w:val="right" w:pos="9016"/>
        </w:tabs>
        <w:rPr>
          <w:noProof/>
        </w:rPr>
      </w:pPr>
      <w:hyperlink w:anchor="_Toc191994460" w:history="1">
        <w:r w:rsidRPr="00E42F6F">
          <w:rPr>
            <w:rStyle w:val="Hyperlink"/>
            <w:noProof/>
          </w:rPr>
          <w:t>What do people on the program say about us?</w:t>
        </w:r>
        <w:r>
          <w:rPr>
            <w:noProof/>
            <w:webHidden/>
          </w:rPr>
          <w:tab/>
        </w:r>
        <w:r>
          <w:rPr>
            <w:noProof/>
            <w:webHidden/>
          </w:rPr>
          <w:fldChar w:fldCharType="begin"/>
        </w:r>
        <w:r>
          <w:rPr>
            <w:noProof/>
            <w:webHidden/>
          </w:rPr>
          <w:instrText xml:space="preserve"> PAGEREF _Toc191994460 \h </w:instrText>
        </w:r>
        <w:r>
          <w:rPr>
            <w:noProof/>
            <w:webHidden/>
          </w:rPr>
        </w:r>
        <w:r>
          <w:rPr>
            <w:noProof/>
            <w:webHidden/>
          </w:rPr>
          <w:fldChar w:fldCharType="separate"/>
        </w:r>
        <w:r>
          <w:rPr>
            <w:noProof/>
            <w:webHidden/>
          </w:rPr>
          <w:t>3</w:t>
        </w:r>
        <w:r>
          <w:rPr>
            <w:noProof/>
            <w:webHidden/>
          </w:rPr>
          <w:fldChar w:fldCharType="end"/>
        </w:r>
      </w:hyperlink>
    </w:p>
    <w:p w14:paraId="759769DA" w14:textId="1F5F3F4B" w:rsidR="00987015" w:rsidRDefault="00987015">
      <w:pPr>
        <w:pStyle w:val="TOC1"/>
        <w:tabs>
          <w:tab w:val="right" w:pos="9016"/>
        </w:tabs>
        <w:rPr>
          <w:noProof/>
        </w:rPr>
      </w:pPr>
      <w:hyperlink w:anchor="_Toc191994461" w:history="1">
        <w:r w:rsidRPr="00E42F6F">
          <w:rPr>
            <w:rStyle w:val="Hyperlink"/>
            <w:noProof/>
          </w:rPr>
          <w:t>How we live diversity and inclusion</w:t>
        </w:r>
        <w:r>
          <w:rPr>
            <w:noProof/>
            <w:webHidden/>
          </w:rPr>
          <w:tab/>
        </w:r>
        <w:r>
          <w:rPr>
            <w:noProof/>
            <w:webHidden/>
          </w:rPr>
          <w:fldChar w:fldCharType="begin"/>
        </w:r>
        <w:r>
          <w:rPr>
            <w:noProof/>
            <w:webHidden/>
          </w:rPr>
          <w:instrText xml:space="preserve"> PAGEREF _Toc191994461 \h </w:instrText>
        </w:r>
        <w:r>
          <w:rPr>
            <w:noProof/>
            <w:webHidden/>
          </w:rPr>
        </w:r>
        <w:r>
          <w:rPr>
            <w:noProof/>
            <w:webHidden/>
          </w:rPr>
          <w:fldChar w:fldCharType="separate"/>
        </w:r>
        <w:r>
          <w:rPr>
            <w:noProof/>
            <w:webHidden/>
          </w:rPr>
          <w:t>4</w:t>
        </w:r>
        <w:r>
          <w:rPr>
            <w:noProof/>
            <w:webHidden/>
          </w:rPr>
          <w:fldChar w:fldCharType="end"/>
        </w:r>
      </w:hyperlink>
    </w:p>
    <w:p w14:paraId="4CC4C529" w14:textId="0F782F84" w:rsidR="00987015" w:rsidRDefault="00987015">
      <w:pPr>
        <w:pStyle w:val="TOC1"/>
        <w:tabs>
          <w:tab w:val="right" w:pos="9016"/>
        </w:tabs>
        <w:rPr>
          <w:noProof/>
        </w:rPr>
      </w:pPr>
      <w:hyperlink w:anchor="_Toc191994462" w:history="1">
        <w:r w:rsidRPr="00E42F6F">
          <w:rPr>
            <w:rStyle w:val="Hyperlink"/>
            <w:noProof/>
          </w:rPr>
          <w:t>Our workforce at a glance</w:t>
        </w:r>
        <w:r>
          <w:rPr>
            <w:noProof/>
            <w:webHidden/>
          </w:rPr>
          <w:tab/>
        </w:r>
        <w:r>
          <w:rPr>
            <w:noProof/>
            <w:webHidden/>
          </w:rPr>
          <w:fldChar w:fldCharType="begin"/>
        </w:r>
        <w:r>
          <w:rPr>
            <w:noProof/>
            <w:webHidden/>
          </w:rPr>
          <w:instrText xml:space="preserve"> PAGEREF _Toc191994462 \h </w:instrText>
        </w:r>
        <w:r>
          <w:rPr>
            <w:noProof/>
            <w:webHidden/>
          </w:rPr>
        </w:r>
        <w:r>
          <w:rPr>
            <w:noProof/>
            <w:webHidden/>
          </w:rPr>
          <w:fldChar w:fldCharType="separate"/>
        </w:r>
        <w:r>
          <w:rPr>
            <w:noProof/>
            <w:webHidden/>
          </w:rPr>
          <w:t>5</w:t>
        </w:r>
        <w:r>
          <w:rPr>
            <w:noProof/>
            <w:webHidden/>
          </w:rPr>
          <w:fldChar w:fldCharType="end"/>
        </w:r>
      </w:hyperlink>
    </w:p>
    <w:p w14:paraId="33CC9521" w14:textId="6AA86AF7" w:rsidR="00987015" w:rsidRDefault="00987015">
      <w:pPr>
        <w:pStyle w:val="TOC1"/>
        <w:tabs>
          <w:tab w:val="right" w:pos="9016"/>
        </w:tabs>
        <w:rPr>
          <w:noProof/>
        </w:rPr>
      </w:pPr>
      <w:hyperlink w:anchor="_Toc191994463" w:history="1">
        <w:r w:rsidRPr="00E42F6F">
          <w:rPr>
            <w:rStyle w:val="Hyperlink"/>
            <w:noProof/>
          </w:rPr>
          <w:t>Closing the Gap</w:t>
        </w:r>
        <w:r>
          <w:rPr>
            <w:noProof/>
            <w:webHidden/>
          </w:rPr>
          <w:tab/>
        </w:r>
        <w:r>
          <w:rPr>
            <w:noProof/>
            <w:webHidden/>
          </w:rPr>
          <w:fldChar w:fldCharType="begin"/>
        </w:r>
        <w:r>
          <w:rPr>
            <w:noProof/>
            <w:webHidden/>
          </w:rPr>
          <w:instrText xml:space="preserve"> PAGEREF _Toc191994463 \h </w:instrText>
        </w:r>
        <w:r>
          <w:rPr>
            <w:noProof/>
            <w:webHidden/>
          </w:rPr>
        </w:r>
        <w:r>
          <w:rPr>
            <w:noProof/>
            <w:webHidden/>
          </w:rPr>
          <w:fldChar w:fldCharType="separate"/>
        </w:r>
        <w:r>
          <w:rPr>
            <w:noProof/>
            <w:webHidden/>
          </w:rPr>
          <w:t>5</w:t>
        </w:r>
        <w:r>
          <w:rPr>
            <w:noProof/>
            <w:webHidden/>
          </w:rPr>
          <w:fldChar w:fldCharType="end"/>
        </w:r>
      </w:hyperlink>
    </w:p>
    <w:p w14:paraId="4A81E7A8" w14:textId="04719E13" w:rsidR="00987015" w:rsidRDefault="00987015">
      <w:pPr>
        <w:pStyle w:val="TOC1"/>
        <w:tabs>
          <w:tab w:val="right" w:pos="9016"/>
        </w:tabs>
        <w:rPr>
          <w:noProof/>
        </w:rPr>
      </w:pPr>
      <w:hyperlink w:anchor="_Toc191994464" w:history="1">
        <w:r w:rsidRPr="00E42F6F">
          <w:rPr>
            <w:rStyle w:val="Hyperlink"/>
            <w:noProof/>
          </w:rPr>
          <w:t>Reconciliation</w:t>
        </w:r>
        <w:r>
          <w:rPr>
            <w:noProof/>
            <w:webHidden/>
          </w:rPr>
          <w:tab/>
        </w:r>
        <w:r>
          <w:rPr>
            <w:noProof/>
            <w:webHidden/>
          </w:rPr>
          <w:fldChar w:fldCharType="begin"/>
        </w:r>
        <w:r>
          <w:rPr>
            <w:noProof/>
            <w:webHidden/>
          </w:rPr>
          <w:instrText xml:space="preserve"> PAGEREF _Toc191994464 \h </w:instrText>
        </w:r>
        <w:r>
          <w:rPr>
            <w:noProof/>
            <w:webHidden/>
          </w:rPr>
        </w:r>
        <w:r>
          <w:rPr>
            <w:noProof/>
            <w:webHidden/>
          </w:rPr>
          <w:fldChar w:fldCharType="separate"/>
        </w:r>
        <w:r>
          <w:rPr>
            <w:noProof/>
            <w:webHidden/>
          </w:rPr>
          <w:t>5</w:t>
        </w:r>
        <w:r>
          <w:rPr>
            <w:noProof/>
            <w:webHidden/>
          </w:rPr>
          <w:fldChar w:fldCharType="end"/>
        </w:r>
      </w:hyperlink>
    </w:p>
    <w:p w14:paraId="74A0FB9C" w14:textId="70016EB8" w:rsidR="00987015" w:rsidRDefault="00987015">
      <w:pPr>
        <w:pStyle w:val="TOC1"/>
        <w:tabs>
          <w:tab w:val="right" w:pos="9016"/>
        </w:tabs>
        <w:rPr>
          <w:noProof/>
        </w:rPr>
      </w:pPr>
      <w:hyperlink w:anchor="_Toc191994465" w:history="1">
        <w:r w:rsidRPr="00E42F6F">
          <w:rPr>
            <w:rStyle w:val="Hyperlink"/>
            <w:noProof/>
          </w:rPr>
          <w:t>Aboriginal Workforce Strategy and Nunga Network</w:t>
        </w:r>
        <w:r>
          <w:rPr>
            <w:noProof/>
            <w:webHidden/>
          </w:rPr>
          <w:tab/>
        </w:r>
        <w:r>
          <w:rPr>
            <w:noProof/>
            <w:webHidden/>
          </w:rPr>
          <w:fldChar w:fldCharType="begin"/>
        </w:r>
        <w:r>
          <w:rPr>
            <w:noProof/>
            <w:webHidden/>
          </w:rPr>
          <w:instrText xml:space="preserve"> PAGEREF _Toc191994465 \h </w:instrText>
        </w:r>
        <w:r>
          <w:rPr>
            <w:noProof/>
            <w:webHidden/>
          </w:rPr>
        </w:r>
        <w:r>
          <w:rPr>
            <w:noProof/>
            <w:webHidden/>
          </w:rPr>
          <w:fldChar w:fldCharType="separate"/>
        </w:r>
        <w:r>
          <w:rPr>
            <w:noProof/>
            <w:webHidden/>
          </w:rPr>
          <w:t>6</w:t>
        </w:r>
        <w:r>
          <w:rPr>
            <w:noProof/>
            <w:webHidden/>
          </w:rPr>
          <w:fldChar w:fldCharType="end"/>
        </w:r>
      </w:hyperlink>
    </w:p>
    <w:p w14:paraId="5EE178DF" w14:textId="09530173" w:rsidR="00987015" w:rsidRDefault="00987015">
      <w:pPr>
        <w:pStyle w:val="TOC1"/>
        <w:tabs>
          <w:tab w:val="right" w:pos="9016"/>
        </w:tabs>
        <w:rPr>
          <w:noProof/>
        </w:rPr>
      </w:pPr>
      <w:hyperlink w:anchor="_Toc191994466" w:history="1">
        <w:r w:rsidRPr="00E42F6F">
          <w:rPr>
            <w:rStyle w:val="Hyperlink"/>
            <w:noProof/>
          </w:rPr>
          <w:t>Our services</w:t>
        </w:r>
        <w:r>
          <w:rPr>
            <w:noProof/>
            <w:webHidden/>
          </w:rPr>
          <w:tab/>
        </w:r>
        <w:r>
          <w:rPr>
            <w:noProof/>
            <w:webHidden/>
          </w:rPr>
          <w:fldChar w:fldCharType="begin"/>
        </w:r>
        <w:r>
          <w:rPr>
            <w:noProof/>
            <w:webHidden/>
          </w:rPr>
          <w:instrText xml:space="preserve"> PAGEREF _Toc191994466 \h </w:instrText>
        </w:r>
        <w:r>
          <w:rPr>
            <w:noProof/>
            <w:webHidden/>
          </w:rPr>
        </w:r>
        <w:r>
          <w:rPr>
            <w:noProof/>
            <w:webHidden/>
          </w:rPr>
          <w:fldChar w:fldCharType="separate"/>
        </w:r>
        <w:r>
          <w:rPr>
            <w:noProof/>
            <w:webHidden/>
          </w:rPr>
          <w:t>6</w:t>
        </w:r>
        <w:r>
          <w:rPr>
            <w:noProof/>
            <w:webHidden/>
          </w:rPr>
          <w:fldChar w:fldCharType="end"/>
        </w:r>
      </w:hyperlink>
    </w:p>
    <w:p w14:paraId="0AE6DDC1" w14:textId="3B19E7B6" w:rsidR="00987015" w:rsidRDefault="00987015">
      <w:pPr>
        <w:pStyle w:val="TOC1"/>
        <w:tabs>
          <w:tab w:val="right" w:pos="9016"/>
        </w:tabs>
        <w:rPr>
          <w:noProof/>
        </w:rPr>
      </w:pPr>
      <w:hyperlink w:anchor="_Toc191994467" w:history="1">
        <w:r w:rsidRPr="00E42F6F">
          <w:rPr>
            <w:rStyle w:val="Hyperlink"/>
            <w:noProof/>
          </w:rPr>
          <w:t>Work Perks</w:t>
        </w:r>
        <w:r>
          <w:rPr>
            <w:noProof/>
            <w:webHidden/>
          </w:rPr>
          <w:tab/>
        </w:r>
        <w:r>
          <w:rPr>
            <w:noProof/>
            <w:webHidden/>
          </w:rPr>
          <w:fldChar w:fldCharType="begin"/>
        </w:r>
        <w:r>
          <w:rPr>
            <w:noProof/>
            <w:webHidden/>
          </w:rPr>
          <w:instrText xml:space="preserve"> PAGEREF _Toc191994467 \h </w:instrText>
        </w:r>
        <w:r>
          <w:rPr>
            <w:noProof/>
            <w:webHidden/>
          </w:rPr>
        </w:r>
        <w:r>
          <w:rPr>
            <w:noProof/>
            <w:webHidden/>
          </w:rPr>
          <w:fldChar w:fldCharType="separate"/>
        </w:r>
        <w:r>
          <w:rPr>
            <w:noProof/>
            <w:webHidden/>
          </w:rPr>
          <w:t>7</w:t>
        </w:r>
        <w:r>
          <w:rPr>
            <w:noProof/>
            <w:webHidden/>
          </w:rPr>
          <w:fldChar w:fldCharType="end"/>
        </w:r>
      </w:hyperlink>
    </w:p>
    <w:p w14:paraId="55D5E750" w14:textId="41659D53" w:rsidR="00987015" w:rsidRDefault="00987015">
      <w:pPr>
        <w:pStyle w:val="TOC2"/>
        <w:tabs>
          <w:tab w:val="right" w:pos="9016"/>
        </w:tabs>
        <w:rPr>
          <w:noProof/>
        </w:rPr>
      </w:pPr>
      <w:hyperlink w:anchor="_Toc191994468" w:history="1">
        <w:r w:rsidRPr="00E42F6F">
          <w:rPr>
            <w:rStyle w:val="Hyperlink"/>
            <w:noProof/>
          </w:rPr>
          <w:t>Flexible working</w:t>
        </w:r>
        <w:r>
          <w:rPr>
            <w:noProof/>
            <w:webHidden/>
          </w:rPr>
          <w:tab/>
        </w:r>
        <w:r>
          <w:rPr>
            <w:noProof/>
            <w:webHidden/>
          </w:rPr>
          <w:fldChar w:fldCharType="begin"/>
        </w:r>
        <w:r>
          <w:rPr>
            <w:noProof/>
            <w:webHidden/>
          </w:rPr>
          <w:instrText xml:space="preserve"> PAGEREF _Toc191994468 \h </w:instrText>
        </w:r>
        <w:r>
          <w:rPr>
            <w:noProof/>
            <w:webHidden/>
          </w:rPr>
        </w:r>
        <w:r>
          <w:rPr>
            <w:noProof/>
            <w:webHidden/>
          </w:rPr>
          <w:fldChar w:fldCharType="separate"/>
        </w:r>
        <w:r>
          <w:rPr>
            <w:noProof/>
            <w:webHidden/>
          </w:rPr>
          <w:t>7</w:t>
        </w:r>
        <w:r>
          <w:rPr>
            <w:noProof/>
            <w:webHidden/>
          </w:rPr>
          <w:fldChar w:fldCharType="end"/>
        </w:r>
      </w:hyperlink>
    </w:p>
    <w:p w14:paraId="0A17DCBB" w14:textId="2C7EF7AF" w:rsidR="00987015" w:rsidRDefault="00987015">
      <w:pPr>
        <w:pStyle w:val="TOC2"/>
        <w:tabs>
          <w:tab w:val="right" w:pos="9016"/>
        </w:tabs>
        <w:rPr>
          <w:noProof/>
        </w:rPr>
      </w:pPr>
      <w:hyperlink w:anchor="_Toc191994469" w:history="1">
        <w:r w:rsidRPr="00E42F6F">
          <w:rPr>
            <w:rStyle w:val="Hyperlink"/>
            <w:noProof/>
          </w:rPr>
          <w:t>Salary sacrifice</w:t>
        </w:r>
        <w:r>
          <w:rPr>
            <w:noProof/>
            <w:webHidden/>
          </w:rPr>
          <w:tab/>
        </w:r>
        <w:r>
          <w:rPr>
            <w:noProof/>
            <w:webHidden/>
          </w:rPr>
          <w:fldChar w:fldCharType="begin"/>
        </w:r>
        <w:r>
          <w:rPr>
            <w:noProof/>
            <w:webHidden/>
          </w:rPr>
          <w:instrText xml:space="preserve"> PAGEREF _Toc191994469 \h </w:instrText>
        </w:r>
        <w:r>
          <w:rPr>
            <w:noProof/>
            <w:webHidden/>
          </w:rPr>
        </w:r>
        <w:r>
          <w:rPr>
            <w:noProof/>
            <w:webHidden/>
          </w:rPr>
          <w:fldChar w:fldCharType="separate"/>
        </w:r>
        <w:r>
          <w:rPr>
            <w:noProof/>
            <w:webHidden/>
          </w:rPr>
          <w:t>7</w:t>
        </w:r>
        <w:r>
          <w:rPr>
            <w:noProof/>
            <w:webHidden/>
          </w:rPr>
          <w:fldChar w:fldCharType="end"/>
        </w:r>
      </w:hyperlink>
    </w:p>
    <w:p w14:paraId="507B9E4A" w14:textId="31D7535C" w:rsidR="00987015" w:rsidRDefault="00987015">
      <w:pPr>
        <w:pStyle w:val="TOC2"/>
        <w:tabs>
          <w:tab w:val="right" w:pos="9016"/>
        </w:tabs>
        <w:rPr>
          <w:noProof/>
        </w:rPr>
      </w:pPr>
      <w:hyperlink w:anchor="_Toc191994470" w:history="1">
        <w:r w:rsidRPr="00E42F6F">
          <w:rPr>
            <w:rStyle w:val="Hyperlink"/>
            <w:noProof/>
          </w:rPr>
          <w:t>Personal development and learning</w:t>
        </w:r>
        <w:r>
          <w:rPr>
            <w:noProof/>
            <w:webHidden/>
          </w:rPr>
          <w:tab/>
        </w:r>
        <w:r>
          <w:rPr>
            <w:noProof/>
            <w:webHidden/>
          </w:rPr>
          <w:fldChar w:fldCharType="begin"/>
        </w:r>
        <w:r>
          <w:rPr>
            <w:noProof/>
            <w:webHidden/>
          </w:rPr>
          <w:instrText xml:space="preserve"> PAGEREF _Toc191994470 \h </w:instrText>
        </w:r>
        <w:r>
          <w:rPr>
            <w:noProof/>
            <w:webHidden/>
          </w:rPr>
        </w:r>
        <w:r>
          <w:rPr>
            <w:noProof/>
            <w:webHidden/>
          </w:rPr>
          <w:fldChar w:fldCharType="separate"/>
        </w:r>
        <w:r>
          <w:rPr>
            <w:noProof/>
            <w:webHidden/>
          </w:rPr>
          <w:t>7</w:t>
        </w:r>
        <w:r>
          <w:rPr>
            <w:noProof/>
            <w:webHidden/>
          </w:rPr>
          <w:fldChar w:fldCharType="end"/>
        </w:r>
      </w:hyperlink>
    </w:p>
    <w:p w14:paraId="31746B1B" w14:textId="4EA685C0" w:rsidR="00987015" w:rsidRDefault="00987015">
      <w:pPr>
        <w:pStyle w:val="TOC2"/>
        <w:tabs>
          <w:tab w:val="right" w:pos="9016"/>
        </w:tabs>
        <w:rPr>
          <w:noProof/>
        </w:rPr>
      </w:pPr>
      <w:hyperlink w:anchor="_Toc191994471" w:history="1">
        <w:r w:rsidRPr="00E42F6F">
          <w:rPr>
            <w:rStyle w:val="Hyperlink"/>
            <w:noProof/>
          </w:rPr>
          <w:t>Your wellbeing</w:t>
        </w:r>
        <w:r>
          <w:rPr>
            <w:noProof/>
            <w:webHidden/>
          </w:rPr>
          <w:tab/>
        </w:r>
        <w:r>
          <w:rPr>
            <w:noProof/>
            <w:webHidden/>
          </w:rPr>
          <w:fldChar w:fldCharType="begin"/>
        </w:r>
        <w:r>
          <w:rPr>
            <w:noProof/>
            <w:webHidden/>
          </w:rPr>
          <w:instrText xml:space="preserve"> PAGEREF _Toc191994471 \h </w:instrText>
        </w:r>
        <w:r>
          <w:rPr>
            <w:noProof/>
            <w:webHidden/>
          </w:rPr>
        </w:r>
        <w:r>
          <w:rPr>
            <w:noProof/>
            <w:webHidden/>
          </w:rPr>
          <w:fldChar w:fldCharType="separate"/>
        </w:r>
        <w:r>
          <w:rPr>
            <w:noProof/>
            <w:webHidden/>
          </w:rPr>
          <w:t>7</w:t>
        </w:r>
        <w:r>
          <w:rPr>
            <w:noProof/>
            <w:webHidden/>
          </w:rPr>
          <w:fldChar w:fldCharType="end"/>
        </w:r>
      </w:hyperlink>
    </w:p>
    <w:p w14:paraId="5A3DA5B3" w14:textId="7BF313AD" w:rsidR="00987015" w:rsidRDefault="00987015">
      <w:pPr>
        <w:pStyle w:val="TOC2"/>
        <w:tabs>
          <w:tab w:val="right" w:pos="9016"/>
        </w:tabs>
        <w:rPr>
          <w:noProof/>
        </w:rPr>
      </w:pPr>
      <w:hyperlink w:anchor="_Toc191994472" w:history="1">
        <w:r w:rsidRPr="00E42F6F">
          <w:rPr>
            <w:rStyle w:val="Hyperlink"/>
            <w:noProof/>
          </w:rPr>
          <w:t>Superannuation</w:t>
        </w:r>
        <w:r>
          <w:rPr>
            <w:noProof/>
            <w:webHidden/>
          </w:rPr>
          <w:tab/>
        </w:r>
        <w:r>
          <w:rPr>
            <w:noProof/>
            <w:webHidden/>
          </w:rPr>
          <w:fldChar w:fldCharType="begin"/>
        </w:r>
        <w:r>
          <w:rPr>
            <w:noProof/>
            <w:webHidden/>
          </w:rPr>
          <w:instrText xml:space="preserve"> PAGEREF _Toc191994472 \h </w:instrText>
        </w:r>
        <w:r>
          <w:rPr>
            <w:noProof/>
            <w:webHidden/>
          </w:rPr>
        </w:r>
        <w:r>
          <w:rPr>
            <w:noProof/>
            <w:webHidden/>
          </w:rPr>
          <w:fldChar w:fldCharType="separate"/>
        </w:r>
        <w:r>
          <w:rPr>
            <w:noProof/>
            <w:webHidden/>
          </w:rPr>
          <w:t>7</w:t>
        </w:r>
        <w:r>
          <w:rPr>
            <w:noProof/>
            <w:webHidden/>
          </w:rPr>
          <w:fldChar w:fldCharType="end"/>
        </w:r>
      </w:hyperlink>
    </w:p>
    <w:p w14:paraId="0A0ABB64" w14:textId="63E00949" w:rsidR="00987015" w:rsidRDefault="00987015">
      <w:pPr>
        <w:pStyle w:val="TOC2"/>
        <w:tabs>
          <w:tab w:val="right" w:pos="9016"/>
        </w:tabs>
        <w:rPr>
          <w:noProof/>
        </w:rPr>
      </w:pPr>
      <w:hyperlink w:anchor="_Toc191994473" w:history="1">
        <w:r w:rsidRPr="00E42F6F">
          <w:rPr>
            <w:rStyle w:val="Hyperlink"/>
            <w:noProof/>
          </w:rPr>
          <w:t>Health and fitness</w:t>
        </w:r>
        <w:r>
          <w:rPr>
            <w:noProof/>
            <w:webHidden/>
          </w:rPr>
          <w:tab/>
        </w:r>
        <w:r>
          <w:rPr>
            <w:noProof/>
            <w:webHidden/>
          </w:rPr>
          <w:fldChar w:fldCharType="begin"/>
        </w:r>
        <w:r>
          <w:rPr>
            <w:noProof/>
            <w:webHidden/>
          </w:rPr>
          <w:instrText xml:space="preserve"> PAGEREF _Toc191994473 \h </w:instrText>
        </w:r>
        <w:r>
          <w:rPr>
            <w:noProof/>
            <w:webHidden/>
          </w:rPr>
        </w:r>
        <w:r>
          <w:rPr>
            <w:noProof/>
            <w:webHidden/>
          </w:rPr>
          <w:fldChar w:fldCharType="separate"/>
        </w:r>
        <w:r>
          <w:rPr>
            <w:noProof/>
            <w:webHidden/>
          </w:rPr>
          <w:t>7</w:t>
        </w:r>
        <w:r>
          <w:rPr>
            <w:noProof/>
            <w:webHidden/>
          </w:rPr>
          <w:fldChar w:fldCharType="end"/>
        </w:r>
      </w:hyperlink>
    </w:p>
    <w:p w14:paraId="58C3AC5D" w14:textId="123A6519" w:rsidR="00987015" w:rsidRDefault="00987015">
      <w:pPr>
        <w:pStyle w:val="TOC1"/>
        <w:tabs>
          <w:tab w:val="right" w:pos="9016"/>
        </w:tabs>
        <w:rPr>
          <w:noProof/>
        </w:rPr>
      </w:pPr>
      <w:hyperlink w:anchor="_Toc191994474" w:history="1">
        <w:r w:rsidRPr="00E42F6F">
          <w:rPr>
            <w:rStyle w:val="Hyperlink"/>
            <w:noProof/>
          </w:rPr>
          <w:t>Thank you</w:t>
        </w:r>
        <w:r>
          <w:rPr>
            <w:noProof/>
            <w:webHidden/>
          </w:rPr>
          <w:tab/>
        </w:r>
        <w:r>
          <w:rPr>
            <w:noProof/>
            <w:webHidden/>
          </w:rPr>
          <w:fldChar w:fldCharType="begin"/>
        </w:r>
        <w:r>
          <w:rPr>
            <w:noProof/>
            <w:webHidden/>
          </w:rPr>
          <w:instrText xml:space="preserve"> PAGEREF _Toc191994474 \h </w:instrText>
        </w:r>
        <w:r>
          <w:rPr>
            <w:noProof/>
            <w:webHidden/>
          </w:rPr>
        </w:r>
        <w:r>
          <w:rPr>
            <w:noProof/>
            <w:webHidden/>
          </w:rPr>
          <w:fldChar w:fldCharType="separate"/>
        </w:r>
        <w:r>
          <w:rPr>
            <w:noProof/>
            <w:webHidden/>
          </w:rPr>
          <w:t>8</w:t>
        </w:r>
        <w:r>
          <w:rPr>
            <w:noProof/>
            <w:webHidden/>
          </w:rPr>
          <w:fldChar w:fldCharType="end"/>
        </w:r>
      </w:hyperlink>
    </w:p>
    <w:p w14:paraId="0E5D2688" w14:textId="65B85F19" w:rsidR="00926EE1" w:rsidRDefault="00987015" w:rsidP="00AC6365">
      <w:r>
        <w:fldChar w:fldCharType="end"/>
      </w:r>
    </w:p>
    <w:p w14:paraId="69899FCF" w14:textId="40E8A887" w:rsidR="00AC6365" w:rsidRPr="00AC6365" w:rsidRDefault="00AC6365" w:rsidP="00AC6365">
      <w:pPr>
        <w:pStyle w:val="Heading1"/>
        <w:rPr>
          <w:color w:val="008087"/>
        </w:rPr>
      </w:pPr>
      <w:bookmarkStart w:id="1" w:name="_Toc191994453"/>
      <w:r w:rsidRPr="00AC6365">
        <w:rPr>
          <w:color w:val="008087"/>
        </w:rPr>
        <w:t>Message from the Chief Executive</w:t>
      </w:r>
      <w:bookmarkEnd w:id="1"/>
    </w:p>
    <w:p w14:paraId="3DB10B0A" w14:textId="77777777" w:rsidR="00AC6365" w:rsidRDefault="00AC6365" w:rsidP="00AC6365">
      <w:r>
        <w:t>Welcome to the Department of Human Services, or as we are often known, DHS.</w:t>
      </w:r>
    </w:p>
    <w:p w14:paraId="4C01594C" w14:textId="1CC0494E" w:rsidR="00AC6365" w:rsidRDefault="00AC6365" w:rsidP="00AC6365">
      <w:r>
        <w:t>I’m Sandy Pitcher, Chief Executive, and I am proud to lead a department that's invested in</w:t>
      </w:r>
      <w:r>
        <w:t xml:space="preserve"> </w:t>
      </w:r>
      <w:r>
        <w:t>helping all South Australians thrive.</w:t>
      </w:r>
    </w:p>
    <w:p w14:paraId="6ACB8A34" w14:textId="150ABD89" w:rsidR="00AC6365" w:rsidRDefault="00AC6365" w:rsidP="00AC6365">
      <w:r>
        <w:t xml:space="preserve">We strive to put the ‘human’ in human services – and this is what makes our work at the </w:t>
      </w:r>
      <w:r>
        <w:t>d</w:t>
      </w:r>
      <w:r>
        <w:t>epartment important, challenging, but so very rewarding.</w:t>
      </w:r>
    </w:p>
    <w:p w14:paraId="1D81E5AD" w14:textId="77777777" w:rsidR="00AC6365" w:rsidRDefault="00AC6365" w:rsidP="00AC6365">
      <w:r>
        <w:t>Our priority is to support the South Australian community in delivering programs and services that will ultimately improve their safety, well-being and quality of life.</w:t>
      </w:r>
    </w:p>
    <w:p w14:paraId="1B54F032" w14:textId="77777777" w:rsidR="00AC6365" w:rsidRDefault="00AC6365" w:rsidP="00AC6365">
      <w:r>
        <w:t xml:space="preserve">We’re responsible for commissioning human services across the not-for-profit </w:t>
      </w:r>
      <w:proofErr w:type="gramStart"/>
      <w:r>
        <w:t>sector, and</w:t>
      </w:r>
      <w:proofErr w:type="gramEnd"/>
      <w:r>
        <w:t xml:space="preserve"> investing in the community through grants and funding.</w:t>
      </w:r>
    </w:p>
    <w:p w14:paraId="248F798B" w14:textId="77777777" w:rsidR="00AC6365" w:rsidRDefault="00AC6365" w:rsidP="00AC6365">
      <w:r>
        <w:t>We provide core services in areas including:</w:t>
      </w:r>
    </w:p>
    <w:p w14:paraId="2F3698FF" w14:textId="0AFE3A69" w:rsidR="00AC6365" w:rsidRDefault="00AC6365" w:rsidP="00AC6365">
      <w:pPr>
        <w:pStyle w:val="ListParagraph"/>
        <w:numPr>
          <w:ilvl w:val="0"/>
          <w:numId w:val="1"/>
        </w:numPr>
      </w:pPr>
      <w:r>
        <w:t>youth justice</w:t>
      </w:r>
    </w:p>
    <w:p w14:paraId="5C983DC2" w14:textId="4806E3EA" w:rsidR="00AC6365" w:rsidRDefault="00AC6365" w:rsidP="00AC6365">
      <w:pPr>
        <w:pStyle w:val="ListParagraph"/>
        <w:numPr>
          <w:ilvl w:val="0"/>
          <w:numId w:val="1"/>
        </w:numPr>
      </w:pPr>
      <w:r>
        <w:t>disability support</w:t>
      </w:r>
    </w:p>
    <w:p w14:paraId="5786347C" w14:textId="1639EB90" w:rsidR="00AC6365" w:rsidRDefault="00AC6365" w:rsidP="00AC6365">
      <w:pPr>
        <w:pStyle w:val="ListParagraph"/>
        <w:numPr>
          <w:ilvl w:val="0"/>
          <w:numId w:val="1"/>
        </w:numPr>
      </w:pPr>
      <w:r>
        <w:t>cost of living concessions and rebates</w:t>
      </w:r>
    </w:p>
    <w:p w14:paraId="5298604C" w14:textId="17F36720" w:rsidR="00AC6365" w:rsidRDefault="00AC6365" w:rsidP="00AC6365">
      <w:pPr>
        <w:pStyle w:val="ListParagraph"/>
        <w:numPr>
          <w:ilvl w:val="0"/>
          <w:numId w:val="1"/>
        </w:numPr>
      </w:pPr>
      <w:r>
        <w:t>employment-related screening</w:t>
      </w:r>
    </w:p>
    <w:p w14:paraId="3AB328FD" w14:textId="677D4A4D" w:rsidR="00AC6365" w:rsidRDefault="00AC6365" w:rsidP="00AC6365">
      <w:pPr>
        <w:pStyle w:val="ListParagraph"/>
        <w:numPr>
          <w:ilvl w:val="0"/>
          <w:numId w:val="1"/>
        </w:numPr>
      </w:pPr>
      <w:r>
        <w:t>family safety and support.</w:t>
      </w:r>
    </w:p>
    <w:p w14:paraId="06384289" w14:textId="77777777" w:rsidR="00AC6365" w:rsidRDefault="00AC6365" w:rsidP="00AC6365">
      <w:r>
        <w:t>We also lead important government reforms, including disability inclusion, intensive family support services and women’s equality and safety.</w:t>
      </w:r>
    </w:p>
    <w:p w14:paraId="375D4654" w14:textId="77777777" w:rsidR="00AC6365" w:rsidRDefault="00AC6365" w:rsidP="00AC6365">
      <w:r>
        <w:t>Our services at DHS span South Australia, from Kaurna Country in the state’s capital of Adelaide to the many regional and remote communities that make up our great state.</w:t>
      </w:r>
    </w:p>
    <w:p w14:paraId="105FE613" w14:textId="77777777" w:rsidR="00AC6365" w:rsidRDefault="00AC6365" w:rsidP="00AC6365">
      <w:r>
        <w:t>And while the work we do for our communities is exceptional, it goes without saying that some of the most important people we invest in are our staff.</w:t>
      </w:r>
    </w:p>
    <w:p w14:paraId="4A0A2D69" w14:textId="77777777" w:rsidR="00AC6365" w:rsidRDefault="00AC6365" w:rsidP="00AC6365">
      <w:r>
        <w:t>As an employee of DHS, your voice and the lived experience you bring to the table is valued – that way, we can ensure many perspectives are considered in the design and delivery of our policies and programs to best serve our community.</w:t>
      </w:r>
    </w:p>
    <w:p w14:paraId="037CEC11" w14:textId="77777777" w:rsidR="00AC6365" w:rsidRDefault="00AC6365" w:rsidP="00AC6365">
      <w:r>
        <w:t>Diversity is something we’re very proud of here, as it’s what we draw strength from – allowing us to become an even stronger organisation that quickly and effectively responds to the needs of people, statewide.</w:t>
      </w:r>
    </w:p>
    <w:p w14:paraId="6A78F043" w14:textId="77777777" w:rsidR="00AC6365" w:rsidRDefault="00AC6365" w:rsidP="00AC6365">
      <w:r>
        <w:t>Together, we can help South Australians to thrive, face challenges and take part in a fair and just society – and this is what drives me every day to lead such an incredible team.</w:t>
      </w:r>
    </w:p>
    <w:p w14:paraId="3CA61AFF" w14:textId="77777777" w:rsidR="00AC6365" w:rsidRDefault="00AC6365" w:rsidP="00AC6365">
      <w:r>
        <w:t>Are you ready to join me on the journey?</w:t>
      </w:r>
    </w:p>
    <w:p w14:paraId="4B668E9D" w14:textId="77777777" w:rsidR="00AC6365" w:rsidRDefault="00AC6365" w:rsidP="00AC6365">
      <w:r>
        <w:t>Sandy Pitcher</w:t>
      </w:r>
    </w:p>
    <w:p w14:paraId="7174808E" w14:textId="3879FF0B" w:rsidR="00AC6365" w:rsidRDefault="00AC6365" w:rsidP="00AC6365">
      <w:r>
        <w:t>Chief Executive</w:t>
      </w:r>
    </w:p>
    <w:p w14:paraId="1AA2D3AD" w14:textId="77777777" w:rsidR="00AC6365" w:rsidRPr="00FF1175" w:rsidRDefault="00AC6365" w:rsidP="00AC6365">
      <w:pPr>
        <w:pStyle w:val="Heading1"/>
        <w:rPr>
          <w:color w:val="008087"/>
        </w:rPr>
      </w:pPr>
      <w:bookmarkStart w:id="2" w:name="_Toc190340886"/>
      <w:bookmarkStart w:id="3" w:name="_Toc191994454"/>
      <w:r w:rsidRPr="00FF1175">
        <w:rPr>
          <w:color w:val="008087"/>
        </w:rPr>
        <w:lastRenderedPageBreak/>
        <w:t>What we do and how</w:t>
      </w:r>
      <w:bookmarkEnd w:id="2"/>
      <w:bookmarkEnd w:id="3"/>
    </w:p>
    <w:p w14:paraId="739F4C1E" w14:textId="77777777" w:rsidR="00AC6365" w:rsidRPr="00FF1175" w:rsidRDefault="00AC6365" w:rsidP="00AC6365">
      <w:pPr>
        <w:pStyle w:val="Heading2"/>
        <w:rPr>
          <w:color w:val="008087"/>
        </w:rPr>
      </w:pPr>
      <w:bookmarkStart w:id="4" w:name="_Toc191994455"/>
      <w:r w:rsidRPr="00FF1175">
        <w:rPr>
          <w:color w:val="008087"/>
        </w:rPr>
        <w:t>Priority 1</w:t>
      </w:r>
      <w:bookmarkEnd w:id="4"/>
    </w:p>
    <w:p w14:paraId="4138048C" w14:textId="77777777" w:rsidR="00AC6365" w:rsidRPr="000562CB" w:rsidRDefault="00AC6365" w:rsidP="00AC6365">
      <w:pPr>
        <w:rPr>
          <w:sz w:val="24"/>
          <w:szCs w:val="24"/>
        </w:rPr>
      </w:pPr>
      <w:r w:rsidRPr="000562CB">
        <w:rPr>
          <w:sz w:val="24"/>
          <w:szCs w:val="24"/>
        </w:rPr>
        <w:t>Increasing inclusion, independence and shared decision-making for all.</w:t>
      </w:r>
    </w:p>
    <w:p w14:paraId="1D134D32" w14:textId="77777777" w:rsidR="00AC6365" w:rsidRPr="000562CB" w:rsidRDefault="00AC6365" w:rsidP="00AC6365">
      <w:pPr>
        <w:rPr>
          <w:sz w:val="24"/>
          <w:szCs w:val="24"/>
        </w:rPr>
      </w:pPr>
      <w:r w:rsidRPr="000562CB">
        <w:rPr>
          <w:sz w:val="24"/>
          <w:szCs w:val="24"/>
        </w:rPr>
        <w:t>Our partnerships through policy, programs and services strengthen communities and enable South Australians to actively participate in community life.</w:t>
      </w:r>
    </w:p>
    <w:p w14:paraId="088544F1" w14:textId="77777777" w:rsidR="00AC6365" w:rsidRPr="00FF1175" w:rsidRDefault="00AC6365" w:rsidP="00AC6365">
      <w:pPr>
        <w:pStyle w:val="Heading2"/>
        <w:rPr>
          <w:color w:val="008087"/>
        </w:rPr>
      </w:pPr>
      <w:bookmarkStart w:id="5" w:name="_Toc191994456"/>
      <w:r w:rsidRPr="00FF1175">
        <w:rPr>
          <w:color w:val="008087"/>
        </w:rPr>
        <w:t>Priority 2</w:t>
      </w:r>
      <w:bookmarkEnd w:id="5"/>
    </w:p>
    <w:p w14:paraId="7BB299DA" w14:textId="77777777" w:rsidR="00AC6365" w:rsidRPr="000562CB" w:rsidRDefault="00AC6365" w:rsidP="00AC6365">
      <w:pPr>
        <w:rPr>
          <w:sz w:val="24"/>
          <w:szCs w:val="24"/>
        </w:rPr>
      </w:pPr>
      <w:r w:rsidRPr="000562CB">
        <w:rPr>
          <w:sz w:val="24"/>
          <w:szCs w:val="24"/>
        </w:rPr>
        <w:t>Supporting our community when it matters most.</w:t>
      </w:r>
    </w:p>
    <w:p w14:paraId="0DC54B44" w14:textId="77777777" w:rsidR="00AC6365" w:rsidRPr="000562CB" w:rsidRDefault="00AC6365" w:rsidP="00AC6365">
      <w:pPr>
        <w:rPr>
          <w:sz w:val="24"/>
          <w:szCs w:val="24"/>
        </w:rPr>
      </w:pPr>
      <w:r w:rsidRPr="000562CB">
        <w:rPr>
          <w:sz w:val="24"/>
          <w:szCs w:val="24"/>
        </w:rPr>
        <w:t>Our programs and services are strength-based and ensure South Australians are safe, empowered and connected in their communities.</w:t>
      </w:r>
    </w:p>
    <w:p w14:paraId="64E527F9" w14:textId="77777777" w:rsidR="00AC6365" w:rsidRPr="00FF1175" w:rsidRDefault="00AC6365" w:rsidP="00AC6365">
      <w:pPr>
        <w:pStyle w:val="Heading2"/>
        <w:rPr>
          <w:color w:val="008087"/>
        </w:rPr>
      </w:pPr>
      <w:bookmarkStart w:id="6" w:name="_Toc191994457"/>
      <w:r w:rsidRPr="00FF1175">
        <w:rPr>
          <w:color w:val="008087"/>
        </w:rPr>
        <w:t>Priority 3</w:t>
      </w:r>
      <w:bookmarkEnd w:id="6"/>
    </w:p>
    <w:p w14:paraId="463B651B" w14:textId="77777777" w:rsidR="00AC6365" w:rsidRPr="000562CB" w:rsidRDefault="00AC6365" w:rsidP="00AC6365">
      <w:pPr>
        <w:rPr>
          <w:sz w:val="24"/>
          <w:szCs w:val="24"/>
        </w:rPr>
      </w:pPr>
      <w:r w:rsidRPr="000562CB">
        <w:rPr>
          <w:sz w:val="24"/>
          <w:szCs w:val="24"/>
        </w:rPr>
        <w:t>Delivering modern services for our communities.</w:t>
      </w:r>
    </w:p>
    <w:p w14:paraId="6FA29AFE" w14:textId="77777777" w:rsidR="00AC6365" w:rsidRPr="000562CB" w:rsidRDefault="00AC6365" w:rsidP="00AC6365">
      <w:pPr>
        <w:rPr>
          <w:sz w:val="24"/>
          <w:szCs w:val="24"/>
        </w:rPr>
      </w:pPr>
      <w:r w:rsidRPr="000562CB">
        <w:rPr>
          <w:sz w:val="24"/>
          <w:szCs w:val="24"/>
        </w:rPr>
        <w:t xml:space="preserve">Our services reflect the changing needs of South </w:t>
      </w:r>
      <w:proofErr w:type="gramStart"/>
      <w:r w:rsidRPr="000562CB">
        <w:rPr>
          <w:sz w:val="24"/>
          <w:szCs w:val="24"/>
        </w:rPr>
        <w:t>Australians, and</w:t>
      </w:r>
      <w:proofErr w:type="gramEnd"/>
      <w:r w:rsidRPr="000562CB">
        <w:rPr>
          <w:sz w:val="24"/>
          <w:szCs w:val="24"/>
        </w:rPr>
        <w:t xml:space="preserve"> are focused on supporting positive and lasting outcomes.</w:t>
      </w:r>
    </w:p>
    <w:p w14:paraId="4C20E87A" w14:textId="77777777" w:rsidR="00AC6365" w:rsidRPr="00FF1175" w:rsidRDefault="00AC6365" w:rsidP="00AC6365">
      <w:pPr>
        <w:pStyle w:val="Heading2"/>
        <w:rPr>
          <w:color w:val="008087"/>
        </w:rPr>
      </w:pPr>
      <w:bookmarkStart w:id="7" w:name="_Toc191994458"/>
      <w:r w:rsidRPr="00FF1175">
        <w:rPr>
          <w:color w:val="008087"/>
        </w:rPr>
        <w:t>Keys to our success</w:t>
      </w:r>
      <w:bookmarkEnd w:id="7"/>
    </w:p>
    <w:p w14:paraId="258360DF" w14:textId="77777777" w:rsidR="00AC6365" w:rsidRPr="000562CB" w:rsidRDefault="00AC6365" w:rsidP="00AC6365">
      <w:pPr>
        <w:rPr>
          <w:sz w:val="24"/>
          <w:szCs w:val="24"/>
        </w:rPr>
      </w:pPr>
      <w:r w:rsidRPr="000562CB">
        <w:rPr>
          <w:sz w:val="24"/>
          <w:szCs w:val="24"/>
        </w:rPr>
        <w:t>DHS is committed to amplifying the voices of the people and communities who we support and serve.</w:t>
      </w:r>
    </w:p>
    <w:p w14:paraId="09508783" w14:textId="0E49A4E3" w:rsidR="00AC6365" w:rsidRPr="00AC6365" w:rsidRDefault="00AC6365" w:rsidP="00AC6365">
      <w:pPr>
        <w:pStyle w:val="Heading1"/>
        <w:rPr>
          <w:color w:val="008087"/>
        </w:rPr>
      </w:pPr>
      <w:bookmarkStart w:id="8" w:name="_Toc191994459"/>
      <w:r w:rsidRPr="00AC6365">
        <w:rPr>
          <w:color w:val="008087"/>
        </w:rPr>
        <w:t>What does the DHS Graduate program offer?</w:t>
      </w:r>
      <w:bookmarkEnd w:id="8"/>
    </w:p>
    <w:p w14:paraId="3031BC84" w14:textId="26560F52" w:rsidR="00AC6365" w:rsidRDefault="00AC6365" w:rsidP="00AC6365">
      <w:r>
        <w:t>Becoming a part of the DHS Graduate program is a great way to kick-start</w:t>
      </w:r>
      <w:r>
        <w:t xml:space="preserve"> </w:t>
      </w:r>
      <w:r>
        <w:t>your career.</w:t>
      </w:r>
    </w:p>
    <w:p w14:paraId="1DE197A8" w14:textId="7E37FD08" w:rsidR="00AC6365" w:rsidRDefault="00AC6365" w:rsidP="00AC6365">
      <w:r>
        <w:t xml:space="preserve">We offer a </w:t>
      </w:r>
      <w:proofErr w:type="gramStart"/>
      <w:r>
        <w:t>two year</w:t>
      </w:r>
      <w:proofErr w:type="gramEnd"/>
      <w:r>
        <w:t xml:space="preserve"> contract with the option of starting either in February</w:t>
      </w:r>
      <w:r>
        <w:t xml:space="preserve"> </w:t>
      </w:r>
      <w:r>
        <w:t>or September.</w:t>
      </w:r>
    </w:p>
    <w:p w14:paraId="462CD453" w14:textId="3F0E3E89" w:rsidR="00AC6365" w:rsidRDefault="00AC6365" w:rsidP="00AC6365">
      <w:r>
        <w:t>We provide a structured 12-month Professional Development Program</w:t>
      </w:r>
      <w:r>
        <w:t xml:space="preserve"> </w:t>
      </w:r>
      <w:r>
        <w:t>to support your career development.</w:t>
      </w:r>
    </w:p>
    <w:p w14:paraId="129B5330" w14:textId="31C1C74E" w:rsidR="00AC6365" w:rsidRDefault="00AC6365" w:rsidP="00AC6365">
      <w:r>
        <w:t>We encourage you to participate in networking events to build your network, connecting with fellow DHS graduates</w:t>
      </w:r>
      <w:r>
        <w:t xml:space="preserve"> </w:t>
      </w:r>
      <w:r>
        <w:t>as well as employees across the SA Public Sector.</w:t>
      </w:r>
    </w:p>
    <w:p w14:paraId="1D9BFDBB" w14:textId="2D488209" w:rsidR="00AC6365" w:rsidRDefault="00AC6365" w:rsidP="00AC6365">
      <w:r>
        <w:t>We have both a corporate and allied health stream for tailored opportunities to build key skills from your degree</w:t>
      </w:r>
      <w:r>
        <w:t xml:space="preserve"> </w:t>
      </w:r>
      <w:r>
        <w:t>in practice.</w:t>
      </w:r>
    </w:p>
    <w:p w14:paraId="5C9DC9B2" w14:textId="0461A735" w:rsidR="00AC6365" w:rsidRDefault="00AC6365" w:rsidP="00AC6365">
      <w:r>
        <w:t>We provide work rotations and job shadowing opportunities across work areas to gain a wide range of experience.</w:t>
      </w:r>
    </w:p>
    <w:p w14:paraId="1CFEB081" w14:textId="4F1DC663" w:rsidR="00AC6365" w:rsidRPr="00AC6365" w:rsidRDefault="00AC6365" w:rsidP="00AC6365">
      <w:pPr>
        <w:pStyle w:val="Heading1"/>
        <w:rPr>
          <w:color w:val="008087"/>
        </w:rPr>
      </w:pPr>
      <w:bookmarkStart w:id="9" w:name="_Toc191994460"/>
      <w:r w:rsidRPr="00AC6365">
        <w:rPr>
          <w:color w:val="008087"/>
        </w:rPr>
        <w:t>What do people on the program say about us?</w:t>
      </w:r>
      <w:bookmarkEnd w:id="9"/>
    </w:p>
    <w:p w14:paraId="3F820243" w14:textId="4B257B7D" w:rsidR="00AC6365" w:rsidRDefault="00AC6365" w:rsidP="00AC6365">
      <w:r>
        <w:t>“</w:t>
      </w:r>
      <w:r>
        <w:t>The opportunity to have clinical/operational supervision, engage in meaningful work and help my team are some of the most rewarding aspects of being in the DHS Graduate Program.</w:t>
      </w:r>
    </w:p>
    <w:p w14:paraId="2C601830" w14:textId="1A47749A" w:rsidR="00AC6365" w:rsidRDefault="00AC6365" w:rsidP="00AC6365">
      <w:r>
        <w:lastRenderedPageBreak/>
        <w:t>As a Graduate Social Worker, I am learning every day and developing practical skills that</w:t>
      </w:r>
      <w:r>
        <w:t xml:space="preserve"> </w:t>
      </w:r>
      <w:r>
        <w:t>I need to make a difference in the community</w:t>
      </w:r>
      <w:r>
        <w:t>”</w:t>
      </w:r>
      <w:r>
        <w:t>.</w:t>
      </w:r>
    </w:p>
    <w:p w14:paraId="2625697E" w14:textId="77777777" w:rsidR="00AC6365" w:rsidRDefault="00AC6365" w:rsidP="00AC6365">
      <w:r>
        <w:t>Aakaash (He/Him)</w:t>
      </w:r>
    </w:p>
    <w:p w14:paraId="64B70E83" w14:textId="191DC543" w:rsidR="00AC6365" w:rsidRDefault="00AC6365" w:rsidP="00AC6365">
      <w:r>
        <w:t>Graduate Practitioner (Social Work)</w:t>
      </w:r>
    </w:p>
    <w:p w14:paraId="3ACB2844" w14:textId="76D79798" w:rsidR="00AC6365" w:rsidRPr="00AC6365" w:rsidRDefault="00AC6365" w:rsidP="00AC6365">
      <w:r>
        <w:t>“</w:t>
      </w:r>
      <w:r w:rsidRPr="00AC6365">
        <w:t>The DHS Graduate Program has provided me with a diverse set of skills and prospects for my future career. The professional development sessions assisted me in implementing numerous interpersonal skills in my daily life</w:t>
      </w:r>
      <w:r>
        <w:t>”</w:t>
      </w:r>
      <w:r w:rsidRPr="00AC6365">
        <w:t>.</w:t>
      </w:r>
    </w:p>
    <w:p w14:paraId="683CBAD4" w14:textId="77777777" w:rsidR="00AC6365" w:rsidRPr="00AC6365" w:rsidRDefault="00AC6365" w:rsidP="00AC6365">
      <w:r w:rsidRPr="00AC6365">
        <w:t>Ria (she/her)</w:t>
      </w:r>
    </w:p>
    <w:p w14:paraId="1129FD0D" w14:textId="78F4F3DF" w:rsidR="00AC6365" w:rsidRDefault="00AC6365" w:rsidP="00AC6365">
      <w:r w:rsidRPr="00AC6365">
        <w:t>Graduate Officer</w:t>
      </w:r>
    </w:p>
    <w:p w14:paraId="069FDA20" w14:textId="495C1C72" w:rsidR="00AC6365" w:rsidRDefault="00AC6365" w:rsidP="00AC6365">
      <w:r>
        <w:t>“</w:t>
      </w:r>
      <w:r>
        <w:t>As well as formal professional development sessions, I have had opportunities to attend various external events … through this experience I have made great connections within the public sector and have enjoyed working for a department that puts people first and wants to make a positive difference to the lives of South Australians</w:t>
      </w:r>
      <w:r>
        <w:t>”</w:t>
      </w:r>
      <w:r>
        <w:t>.</w:t>
      </w:r>
    </w:p>
    <w:p w14:paraId="3D7FC362" w14:textId="77777777" w:rsidR="00AC6365" w:rsidRDefault="00AC6365" w:rsidP="00AC6365">
      <w:r>
        <w:t>Chloe (she/her)</w:t>
      </w:r>
    </w:p>
    <w:p w14:paraId="6977648F" w14:textId="77777777" w:rsidR="00AC6365" w:rsidRDefault="00AC6365" w:rsidP="00AC6365">
      <w:r>
        <w:t>Graduate Officer</w:t>
      </w:r>
    </w:p>
    <w:p w14:paraId="25B0B236" w14:textId="77777777" w:rsidR="00AC6365" w:rsidRPr="00FF1175" w:rsidRDefault="00AC6365" w:rsidP="00AC6365">
      <w:pPr>
        <w:pStyle w:val="Heading1"/>
        <w:rPr>
          <w:color w:val="008087"/>
        </w:rPr>
      </w:pPr>
      <w:bookmarkStart w:id="10" w:name="_Toc190340887"/>
      <w:bookmarkStart w:id="11" w:name="_Toc191994461"/>
      <w:r w:rsidRPr="00FF1175">
        <w:rPr>
          <w:color w:val="008087"/>
        </w:rPr>
        <w:t>How we live diversity and inclusion</w:t>
      </w:r>
      <w:bookmarkEnd w:id="10"/>
      <w:bookmarkEnd w:id="11"/>
    </w:p>
    <w:p w14:paraId="06B19A30" w14:textId="77777777" w:rsidR="00AC6365" w:rsidRPr="000562CB" w:rsidRDefault="00AC6365" w:rsidP="00AC6365">
      <w:pPr>
        <w:rPr>
          <w:sz w:val="24"/>
          <w:szCs w:val="24"/>
        </w:rPr>
      </w:pPr>
      <w:r w:rsidRPr="000562CB">
        <w:rPr>
          <w:sz w:val="24"/>
          <w:szCs w:val="24"/>
        </w:rPr>
        <w:t>DHS strives to improve the lives of people of all ages, cultures, disabilities, ethnicities, faiths, gender identities, sex characteristics and sexual orientations.</w:t>
      </w:r>
    </w:p>
    <w:p w14:paraId="6674CB5F" w14:textId="77777777" w:rsidR="00AC6365" w:rsidRPr="000562CB" w:rsidRDefault="00AC6365" w:rsidP="00AC6365">
      <w:pPr>
        <w:rPr>
          <w:sz w:val="24"/>
          <w:szCs w:val="24"/>
        </w:rPr>
      </w:pPr>
      <w:r w:rsidRPr="000562CB">
        <w:rPr>
          <w:sz w:val="24"/>
          <w:szCs w:val="24"/>
        </w:rPr>
        <w:t>We are committed to making our services and workplaces safe and inclusive for all people to ensure the full diversity of the communities we serve are represented in the strategies we lead.</w:t>
      </w:r>
    </w:p>
    <w:p w14:paraId="29AAF499" w14:textId="77777777" w:rsidR="00AC6365" w:rsidRPr="000562CB" w:rsidRDefault="00AC6365" w:rsidP="00AC6365">
      <w:pPr>
        <w:rPr>
          <w:sz w:val="24"/>
          <w:szCs w:val="24"/>
        </w:rPr>
      </w:pPr>
      <w:r w:rsidRPr="000562CB">
        <w:rPr>
          <w:sz w:val="24"/>
          <w:szCs w:val="24"/>
        </w:rPr>
        <w:t>We celebrate the many strengths and skills of people living with disability and/or neurodivergence in our workplace and acknowledge our role to ensure a supportive work environment that enables them to thrive. We are committed to making reasonable adjustments to provide a positive, barrier-free recruitment process.</w:t>
      </w:r>
    </w:p>
    <w:p w14:paraId="1E765971" w14:textId="77777777" w:rsidR="00AC6365" w:rsidRPr="000562CB" w:rsidRDefault="00AC6365" w:rsidP="00AC6365">
      <w:pPr>
        <w:rPr>
          <w:sz w:val="24"/>
          <w:szCs w:val="24"/>
        </w:rPr>
      </w:pPr>
      <w:r w:rsidRPr="000562CB">
        <w:rPr>
          <w:sz w:val="24"/>
          <w:szCs w:val="24"/>
        </w:rPr>
        <w:t>We are proud that DHS fosters a diverse and inclusive workplace culture, and as part of that ongoing commitment, our employee- led networks provide voluntary spaces for employees to come together with peers who have similar lived experiences to connect, share ideas, and contribute to a culture of inclusion.</w:t>
      </w:r>
    </w:p>
    <w:p w14:paraId="3D51FEF2" w14:textId="77777777" w:rsidR="00AC6365" w:rsidRPr="000562CB" w:rsidRDefault="00AC6365" w:rsidP="00AC6365">
      <w:pPr>
        <w:rPr>
          <w:sz w:val="24"/>
          <w:szCs w:val="24"/>
        </w:rPr>
      </w:pPr>
      <w:r w:rsidRPr="000562CB">
        <w:rPr>
          <w:sz w:val="24"/>
          <w:szCs w:val="24"/>
        </w:rPr>
        <w:t>Our established group networks include:</w:t>
      </w:r>
    </w:p>
    <w:p w14:paraId="0DAE5AEA" w14:textId="77777777" w:rsidR="00AC6365" w:rsidRPr="000562CB" w:rsidRDefault="00AC6365" w:rsidP="00AC6365">
      <w:pPr>
        <w:pStyle w:val="ListParagraph"/>
        <w:numPr>
          <w:ilvl w:val="0"/>
          <w:numId w:val="2"/>
        </w:numPr>
        <w:spacing w:before="51" w:line="240" w:lineRule="auto"/>
        <w:rPr>
          <w:sz w:val="24"/>
          <w:szCs w:val="24"/>
        </w:rPr>
      </w:pPr>
      <w:r w:rsidRPr="000562CB">
        <w:rPr>
          <w:sz w:val="24"/>
          <w:szCs w:val="24"/>
        </w:rPr>
        <w:t>Culturally and linguistically diverse (CALD) employee-led network</w:t>
      </w:r>
    </w:p>
    <w:p w14:paraId="74E2840B" w14:textId="77777777" w:rsidR="00AC6365" w:rsidRPr="000562CB" w:rsidRDefault="00AC6365" w:rsidP="00AC6365">
      <w:pPr>
        <w:pStyle w:val="ListParagraph"/>
        <w:numPr>
          <w:ilvl w:val="0"/>
          <w:numId w:val="2"/>
        </w:numPr>
        <w:spacing w:before="51" w:line="240" w:lineRule="auto"/>
        <w:rPr>
          <w:sz w:val="24"/>
          <w:szCs w:val="24"/>
        </w:rPr>
      </w:pPr>
      <w:r w:rsidRPr="000562CB">
        <w:rPr>
          <w:sz w:val="24"/>
          <w:szCs w:val="24"/>
        </w:rPr>
        <w:t>Disability employee-led network</w:t>
      </w:r>
    </w:p>
    <w:p w14:paraId="30F08D50" w14:textId="77777777" w:rsidR="00AC6365" w:rsidRPr="000562CB" w:rsidRDefault="00AC6365" w:rsidP="00AC6365">
      <w:pPr>
        <w:pStyle w:val="ListParagraph"/>
        <w:numPr>
          <w:ilvl w:val="0"/>
          <w:numId w:val="2"/>
        </w:numPr>
        <w:spacing w:before="51" w:line="240" w:lineRule="auto"/>
        <w:rPr>
          <w:sz w:val="24"/>
          <w:szCs w:val="24"/>
        </w:rPr>
      </w:pPr>
      <w:r w:rsidRPr="000562CB">
        <w:rPr>
          <w:sz w:val="24"/>
          <w:szCs w:val="24"/>
        </w:rPr>
        <w:t>LGBTIQA+ employee-led network</w:t>
      </w:r>
    </w:p>
    <w:p w14:paraId="657F71FF" w14:textId="1769FE85" w:rsidR="00AC6365" w:rsidRDefault="00AC6365" w:rsidP="00AC6365">
      <w:r w:rsidRPr="000562CB">
        <w:rPr>
          <w:sz w:val="24"/>
          <w:szCs w:val="24"/>
        </w:rPr>
        <w:t xml:space="preserve">Nunga Network Aboriginal employee-led </w:t>
      </w:r>
      <w:r w:rsidRPr="000562CB">
        <w:rPr>
          <w:spacing w:val="-2"/>
          <w:sz w:val="24"/>
          <w:szCs w:val="24"/>
        </w:rPr>
        <w:t>network.</w:t>
      </w:r>
    </w:p>
    <w:p w14:paraId="305164FB" w14:textId="77777777" w:rsidR="00730CF7" w:rsidRPr="00FF1175" w:rsidRDefault="00730CF7" w:rsidP="00730CF7">
      <w:pPr>
        <w:pStyle w:val="Heading1"/>
        <w:rPr>
          <w:color w:val="008087"/>
        </w:rPr>
      </w:pPr>
      <w:bookmarkStart w:id="12" w:name="_Toc190340888"/>
      <w:bookmarkStart w:id="13" w:name="_Toc191994462"/>
      <w:r w:rsidRPr="00FF1175">
        <w:rPr>
          <w:color w:val="008087"/>
        </w:rPr>
        <w:lastRenderedPageBreak/>
        <w:t xml:space="preserve">Our workforce </w:t>
      </w:r>
      <w:proofErr w:type="gramStart"/>
      <w:r w:rsidRPr="00FF1175">
        <w:rPr>
          <w:color w:val="008087"/>
        </w:rPr>
        <w:t>at a glance</w:t>
      </w:r>
      <w:bookmarkEnd w:id="12"/>
      <w:bookmarkEnd w:id="13"/>
      <w:proofErr w:type="gramEnd"/>
    </w:p>
    <w:p w14:paraId="3D9BBE49" w14:textId="77777777" w:rsidR="00730CF7" w:rsidRPr="000562CB" w:rsidRDefault="00730CF7" w:rsidP="00730CF7">
      <w:pPr>
        <w:spacing w:before="51" w:line="240" w:lineRule="auto"/>
        <w:rPr>
          <w:sz w:val="24"/>
          <w:szCs w:val="24"/>
        </w:rPr>
      </w:pPr>
      <w:r w:rsidRPr="000562CB">
        <w:rPr>
          <w:sz w:val="24"/>
          <w:szCs w:val="24"/>
        </w:rPr>
        <w:t>There are over 3300 staff working at DHS (correct as of 21 January 2025).</w:t>
      </w:r>
    </w:p>
    <w:p w14:paraId="1ADFCCD7" w14:textId="77777777" w:rsidR="00730CF7" w:rsidRPr="000562CB" w:rsidRDefault="00730CF7" w:rsidP="00730CF7">
      <w:pPr>
        <w:spacing w:before="51" w:line="240" w:lineRule="auto"/>
        <w:rPr>
          <w:sz w:val="24"/>
          <w:szCs w:val="24"/>
        </w:rPr>
      </w:pPr>
      <w:r w:rsidRPr="000562CB">
        <w:rPr>
          <w:sz w:val="24"/>
          <w:szCs w:val="24"/>
        </w:rPr>
        <w:t>Our disability and community divisions are 47.1% of our workforce.</w:t>
      </w:r>
    </w:p>
    <w:p w14:paraId="16C2112D" w14:textId="77777777" w:rsidR="00730CF7" w:rsidRPr="000562CB" w:rsidRDefault="00730CF7" w:rsidP="00730CF7">
      <w:pPr>
        <w:spacing w:before="51" w:line="240" w:lineRule="auto"/>
        <w:rPr>
          <w:sz w:val="24"/>
          <w:szCs w:val="24"/>
        </w:rPr>
      </w:pPr>
      <w:r w:rsidRPr="000562CB">
        <w:rPr>
          <w:sz w:val="24"/>
          <w:szCs w:val="24"/>
        </w:rPr>
        <w:t>We have 100 cultures represented with the top 10 non-English languages:</w:t>
      </w:r>
    </w:p>
    <w:p w14:paraId="2E19A040"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Hindi</w:t>
      </w:r>
    </w:p>
    <w:p w14:paraId="282573DE"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Nepali</w:t>
      </w:r>
    </w:p>
    <w:p w14:paraId="3FDAE377"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Swahili</w:t>
      </w:r>
    </w:p>
    <w:p w14:paraId="4B552193"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Punjabi</w:t>
      </w:r>
    </w:p>
    <w:p w14:paraId="1BF5D9F9"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Spanish</w:t>
      </w:r>
    </w:p>
    <w:p w14:paraId="41B7E991"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Mandarin</w:t>
      </w:r>
    </w:p>
    <w:p w14:paraId="47883DC9"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Italian</w:t>
      </w:r>
    </w:p>
    <w:p w14:paraId="50B72741"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French</w:t>
      </w:r>
    </w:p>
    <w:p w14:paraId="1D69BD49"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Arabic (including Lebanese)</w:t>
      </w:r>
    </w:p>
    <w:p w14:paraId="7C8F56BC" w14:textId="77777777" w:rsidR="00730CF7" w:rsidRPr="000562CB" w:rsidRDefault="00730CF7" w:rsidP="00730CF7">
      <w:pPr>
        <w:pStyle w:val="ListParagraph"/>
        <w:numPr>
          <w:ilvl w:val="0"/>
          <w:numId w:val="3"/>
        </w:numPr>
        <w:spacing w:before="51" w:line="240" w:lineRule="auto"/>
        <w:rPr>
          <w:sz w:val="24"/>
          <w:szCs w:val="24"/>
        </w:rPr>
      </w:pPr>
      <w:r w:rsidRPr="000562CB">
        <w:rPr>
          <w:sz w:val="24"/>
          <w:szCs w:val="24"/>
        </w:rPr>
        <w:t>Vietnamese</w:t>
      </w:r>
    </w:p>
    <w:p w14:paraId="21FF5380" w14:textId="77777777" w:rsidR="00730CF7" w:rsidRPr="000562CB" w:rsidRDefault="00730CF7" w:rsidP="00730CF7">
      <w:pPr>
        <w:spacing w:before="51" w:line="240" w:lineRule="auto"/>
        <w:rPr>
          <w:sz w:val="24"/>
          <w:szCs w:val="24"/>
        </w:rPr>
      </w:pPr>
      <w:r w:rsidRPr="000562CB">
        <w:rPr>
          <w:sz w:val="24"/>
          <w:szCs w:val="24"/>
        </w:rPr>
        <w:t>4.1% of our workforce is Aboriginal.</w:t>
      </w:r>
    </w:p>
    <w:p w14:paraId="5B3309E0" w14:textId="77777777" w:rsidR="00730CF7" w:rsidRPr="000562CB" w:rsidRDefault="00730CF7" w:rsidP="00730CF7">
      <w:pPr>
        <w:spacing w:before="51" w:line="240" w:lineRule="auto"/>
        <w:rPr>
          <w:sz w:val="24"/>
          <w:szCs w:val="24"/>
        </w:rPr>
      </w:pPr>
      <w:r w:rsidRPr="000562CB">
        <w:rPr>
          <w:sz w:val="24"/>
          <w:szCs w:val="24"/>
        </w:rPr>
        <w:t>10.1% are living with a disability.</w:t>
      </w:r>
    </w:p>
    <w:p w14:paraId="500EAEF1" w14:textId="77777777" w:rsidR="00730CF7" w:rsidRPr="000562CB" w:rsidRDefault="00730CF7" w:rsidP="00730CF7">
      <w:pPr>
        <w:spacing w:before="51" w:line="240" w:lineRule="auto"/>
        <w:rPr>
          <w:sz w:val="24"/>
          <w:szCs w:val="24"/>
        </w:rPr>
      </w:pPr>
      <w:r w:rsidRPr="000562CB">
        <w:rPr>
          <w:sz w:val="24"/>
          <w:szCs w:val="24"/>
        </w:rPr>
        <w:t>7.5% identify as LGBTIQA+.</w:t>
      </w:r>
    </w:p>
    <w:p w14:paraId="5E5A21D9" w14:textId="77777777" w:rsidR="00730CF7" w:rsidRPr="000562CB" w:rsidRDefault="00730CF7" w:rsidP="00730CF7">
      <w:pPr>
        <w:spacing w:before="51" w:line="240" w:lineRule="auto"/>
        <w:rPr>
          <w:sz w:val="24"/>
          <w:szCs w:val="24"/>
        </w:rPr>
      </w:pPr>
      <w:r w:rsidRPr="000562CB">
        <w:rPr>
          <w:sz w:val="24"/>
          <w:szCs w:val="24"/>
        </w:rPr>
        <w:t>These last 3 results are drawn from the People Matter Employee Survey, 2024.</w:t>
      </w:r>
    </w:p>
    <w:p w14:paraId="4DD70A8A" w14:textId="77777777" w:rsidR="00286E69" w:rsidRPr="00FF1175" w:rsidRDefault="00286E69" w:rsidP="00286E69">
      <w:pPr>
        <w:pStyle w:val="Heading1"/>
        <w:rPr>
          <w:color w:val="008087"/>
        </w:rPr>
      </w:pPr>
      <w:bookmarkStart w:id="14" w:name="_Toc190340889"/>
      <w:bookmarkStart w:id="15" w:name="_Toc191994463"/>
      <w:r w:rsidRPr="00FF1175">
        <w:rPr>
          <w:color w:val="008087"/>
        </w:rPr>
        <w:t>Closing the Gap</w:t>
      </w:r>
      <w:bookmarkEnd w:id="14"/>
      <w:bookmarkEnd w:id="15"/>
    </w:p>
    <w:p w14:paraId="4DBC2CE5" w14:textId="77777777" w:rsidR="00286E69" w:rsidRPr="000562CB" w:rsidRDefault="00286E69" w:rsidP="00286E69">
      <w:pPr>
        <w:spacing w:before="51" w:line="240" w:lineRule="auto"/>
        <w:rPr>
          <w:sz w:val="24"/>
          <w:szCs w:val="24"/>
        </w:rPr>
      </w:pPr>
      <w:r w:rsidRPr="000562CB">
        <w:rPr>
          <w:sz w:val="24"/>
          <w:szCs w:val="24"/>
        </w:rPr>
        <w:t>DHS acknowledges the ongoing strength and resilience of Aboriginal peoples</w:t>
      </w:r>
    </w:p>
    <w:p w14:paraId="47132216" w14:textId="77777777" w:rsidR="00286E69" w:rsidRPr="000562CB" w:rsidRDefault="00286E69" w:rsidP="00286E69">
      <w:pPr>
        <w:spacing w:before="51" w:line="240" w:lineRule="auto"/>
        <w:rPr>
          <w:sz w:val="24"/>
          <w:szCs w:val="24"/>
        </w:rPr>
      </w:pPr>
      <w:r w:rsidRPr="000562CB">
        <w:rPr>
          <w:sz w:val="24"/>
          <w:szCs w:val="24"/>
        </w:rPr>
        <w:t>in sustaining the world’s oldest living culture. Closing the Gap is a key priority for DHS, underpinned by the belief that when Aboriginal peoples have a genuine say in the design and delivery of policies, programs and services that affect them, better life outcomes are achieved.</w:t>
      </w:r>
    </w:p>
    <w:p w14:paraId="440F781D" w14:textId="77777777" w:rsidR="00286E69" w:rsidRPr="000562CB" w:rsidRDefault="00286E69" w:rsidP="00286E69">
      <w:pPr>
        <w:spacing w:before="51" w:line="240" w:lineRule="auto"/>
        <w:rPr>
          <w:sz w:val="24"/>
          <w:szCs w:val="24"/>
        </w:rPr>
      </w:pPr>
      <w:r w:rsidRPr="000562CB">
        <w:rPr>
          <w:sz w:val="24"/>
          <w:szCs w:val="24"/>
        </w:rPr>
        <w:t>Closing the Gap requires DHS to structurally change the way it works with Aboriginal peoples to be culturally safe and responsive to their needs, including through the organisations we fund and the employment we offer.</w:t>
      </w:r>
    </w:p>
    <w:p w14:paraId="207FCD60" w14:textId="77777777" w:rsidR="00286E69" w:rsidRPr="000562CB" w:rsidRDefault="00286E69" w:rsidP="00286E69">
      <w:pPr>
        <w:spacing w:before="51" w:line="240" w:lineRule="auto"/>
        <w:rPr>
          <w:sz w:val="24"/>
          <w:szCs w:val="24"/>
        </w:rPr>
      </w:pPr>
      <w:r w:rsidRPr="000562CB">
        <w:rPr>
          <w:sz w:val="24"/>
          <w:szCs w:val="24"/>
        </w:rPr>
        <w:t xml:space="preserve">In response to the </w:t>
      </w:r>
      <w:hyperlink r:id="rId10" w:history="1">
        <w:r w:rsidRPr="000562CB">
          <w:rPr>
            <w:rStyle w:val="Hyperlink"/>
            <w:sz w:val="24"/>
            <w:szCs w:val="24"/>
          </w:rPr>
          <w:t>National Agreement on Closing the Gap</w:t>
        </w:r>
      </w:hyperlink>
      <w:r w:rsidRPr="000562CB">
        <w:rPr>
          <w:sz w:val="24"/>
          <w:szCs w:val="24"/>
        </w:rPr>
        <w:t>, DHS has developed a Closing the Gap Framework and Policy to assist and guide the department's day-to- day work to achieve the changes required.</w:t>
      </w:r>
    </w:p>
    <w:p w14:paraId="61F6915F" w14:textId="77777777" w:rsidR="00286E69" w:rsidRPr="00B062E6" w:rsidRDefault="00286E69" w:rsidP="00286E69">
      <w:pPr>
        <w:pStyle w:val="Heading1"/>
        <w:rPr>
          <w:color w:val="008087"/>
        </w:rPr>
      </w:pPr>
      <w:bookmarkStart w:id="16" w:name="_Toc190340890"/>
      <w:bookmarkStart w:id="17" w:name="_Toc191994464"/>
      <w:r w:rsidRPr="00B062E6">
        <w:rPr>
          <w:color w:val="008087"/>
        </w:rPr>
        <w:t>Reconciliation</w:t>
      </w:r>
      <w:bookmarkEnd w:id="16"/>
      <w:bookmarkEnd w:id="17"/>
    </w:p>
    <w:p w14:paraId="4B33DDE0" w14:textId="77777777" w:rsidR="00286E69" w:rsidRPr="000562CB" w:rsidRDefault="00286E69" w:rsidP="00286E69">
      <w:pPr>
        <w:rPr>
          <w:sz w:val="24"/>
          <w:szCs w:val="24"/>
        </w:rPr>
      </w:pPr>
      <w:r w:rsidRPr="000562CB">
        <w:rPr>
          <w:sz w:val="24"/>
          <w:szCs w:val="24"/>
        </w:rPr>
        <w:t>Reconciliation, at its heart, is about strengthening relationships between Aboriginal peoples and non-Aboriginal peoples, for the benefit of all Australians. True reconciliation requires truth-telling, including acknowledging the historical and ongoing impacts of colonisation characterised by devastating land dispossession, violence, and racism.</w:t>
      </w:r>
    </w:p>
    <w:p w14:paraId="1FD3B797" w14:textId="77777777" w:rsidR="00286E69" w:rsidRPr="000562CB" w:rsidRDefault="00286E69" w:rsidP="00286E69">
      <w:pPr>
        <w:rPr>
          <w:sz w:val="24"/>
          <w:szCs w:val="24"/>
        </w:rPr>
      </w:pPr>
      <w:r w:rsidRPr="000562CB">
        <w:rPr>
          <w:sz w:val="24"/>
          <w:szCs w:val="24"/>
        </w:rPr>
        <w:lastRenderedPageBreak/>
        <w:t xml:space="preserve">DHS’ </w:t>
      </w:r>
      <w:hyperlink r:id="rId11" w:history="1">
        <w:r w:rsidRPr="000562CB">
          <w:rPr>
            <w:rStyle w:val="Hyperlink"/>
            <w:sz w:val="24"/>
            <w:szCs w:val="24"/>
          </w:rPr>
          <w:t>Reconciliation Action Plan 2022–24</w:t>
        </w:r>
      </w:hyperlink>
      <w:r w:rsidRPr="000562CB">
        <w:rPr>
          <w:sz w:val="24"/>
          <w:szCs w:val="24"/>
        </w:rPr>
        <w:t xml:space="preserve"> (RAP) provides the department with a structured approach to advance reconciliation. This includes commitments to deeply listening, building cultural intelligence, celebrating diversity and having the humility to recognise and value different ways of being and doing. Our RAP is a vital tool to achieve an equitable Australia in alignment with the regulatory body, Reconciliation Australia.</w:t>
      </w:r>
    </w:p>
    <w:p w14:paraId="1836CDD6" w14:textId="77777777" w:rsidR="00286E69" w:rsidRPr="000562CB" w:rsidRDefault="00286E69" w:rsidP="00286E69">
      <w:pPr>
        <w:rPr>
          <w:sz w:val="24"/>
          <w:szCs w:val="24"/>
        </w:rPr>
      </w:pPr>
      <w:r w:rsidRPr="000562CB">
        <w:rPr>
          <w:sz w:val="24"/>
          <w:szCs w:val="24"/>
        </w:rPr>
        <w:t>Reconciliation is an ongoing journey that reminds us that while generations of Australians have fought hard for meaningful change, future gains are likely to take just as much, if not more, effort.</w:t>
      </w:r>
    </w:p>
    <w:p w14:paraId="09834424" w14:textId="77777777" w:rsidR="00286E69" w:rsidRPr="000562CB" w:rsidRDefault="00286E69" w:rsidP="00286E69">
      <w:pPr>
        <w:rPr>
          <w:sz w:val="24"/>
          <w:szCs w:val="24"/>
        </w:rPr>
      </w:pPr>
      <w:r w:rsidRPr="000562CB">
        <w:rPr>
          <w:sz w:val="24"/>
          <w:szCs w:val="24"/>
        </w:rPr>
        <w:t>In a just, equitable and reconciled Australia, Aboriginal children will have the same life chances and choices as non-Aboriginal children, and the length and quality of a person’s life will not be determined by their cultural heritage.</w:t>
      </w:r>
    </w:p>
    <w:p w14:paraId="6D55245D" w14:textId="77777777" w:rsidR="00A8085B" w:rsidRPr="00B062E6" w:rsidRDefault="00A8085B" w:rsidP="00A8085B">
      <w:pPr>
        <w:pStyle w:val="Heading1"/>
        <w:rPr>
          <w:color w:val="008087"/>
        </w:rPr>
      </w:pPr>
      <w:bookmarkStart w:id="18" w:name="_Toc190340891"/>
      <w:bookmarkStart w:id="19" w:name="_Toc191994465"/>
      <w:r w:rsidRPr="00B062E6">
        <w:rPr>
          <w:color w:val="008087"/>
        </w:rPr>
        <w:t>Aboriginal Workforce Strategy and Nunga Network</w:t>
      </w:r>
      <w:bookmarkEnd w:id="18"/>
      <w:bookmarkEnd w:id="19"/>
    </w:p>
    <w:p w14:paraId="7660E304" w14:textId="77777777" w:rsidR="00A8085B" w:rsidRPr="000562CB" w:rsidRDefault="00A8085B" w:rsidP="00A8085B">
      <w:pPr>
        <w:rPr>
          <w:sz w:val="24"/>
          <w:szCs w:val="24"/>
        </w:rPr>
      </w:pPr>
      <w:r w:rsidRPr="000562CB">
        <w:rPr>
          <w:sz w:val="24"/>
          <w:szCs w:val="24"/>
        </w:rPr>
        <w:t>DHS, through its Aboriginal Workforce Strategy, is committed to employing more Aboriginal staff, retaining and upskilling current Aboriginal staff, and creating a culturally safe and responsive working environment to make our department an employer of choice for Aboriginal peoples.</w:t>
      </w:r>
    </w:p>
    <w:p w14:paraId="7DF20B8F" w14:textId="77777777" w:rsidR="00A8085B" w:rsidRPr="000562CB" w:rsidRDefault="00A8085B" w:rsidP="00A8085B">
      <w:pPr>
        <w:rPr>
          <w:sz w:val="24"/>
          <w:szCs w:val="24"/>
        </w:rPr>
      </w:pPr>
      <w:r w:rsidRPr="000562CB">
        <w:rPr>
          <w:sz w:val="24"/>
          <w:szCs w:val="24"/>
        </w:rPr>
        <w:t>The Principal Aboriginal Workforce Consultant, in our People and Culture Division, plays a key role in supporting Aboriginal staff across DHS and their managers to achieve the Strategy's outcomes. This includes leading the DHS Nunga Network to help our Aboriginal workforce staff feel connected and share information in real-time.</w:t>
      </w:r>
    </w:p>
    <w:p w14:paraId="49B25792" w14:textId="77777777" w:rsidR="00A8085B" w:rsidRPr="00B062E6" w:rsidRDefault="00A8085B" w:rsidP="00A8085B">
      <w:pPr>
        <w:pStyle w:val="Heading1"/>
        <w:rPr>
          <w:color w:val="008087"/>
        </w:rPr>
      </w:pPr>
      <w:bookmarkStart w:id="20" w:name="_Toc190340892"/>
      <w:bookmarkStart w:id="21" w:name="_Toc191994466"/>
      <w:r w:rsidRPr="00B062E6">
        <w:rPr>
          <w:color w:val="008087"/>
        </w:rPr>
        <w:t>Our services</w:t>
      </w:r>
      <w:bookmarkEnd w:id="20"/>
      <w:bookmarkEnd w:id="21"/>
    </w:p>
    <w:p w14:paraId="59D66829" w14:textId="77777777" w:rsidR="00A8085B" w:rsidRPr="000562CB" w:rsidRDefault="00A8085B" w:rsidP="00A8085B">
      <w:pPr>
        <w:pStyle w:val="ListParagraph"/>
        <w:numPr>
          <w:ilvl w:val="0"/>
          <w:numId w:val="4"/>
        </w:numPr>
        <w:rPr>
          <w:sz w:val="24"/>
          <w:szCs w:val="24"/>
        </w:rPr>
      </w:pPr>
      <w:r w:rsidRPr="000562CB">
        <w:rPr>
          <w:sz w:val="24"/>
          <w:szCs w:val="24"/>
        </w:rPr>
        <w:t>Aboriginal Peoples</w:t>
      </w:r>
    </w:p>
    <w:p w14:paraId="1166CADC" w14:textId="77777777" w:rsidR="00A8085B" w:rsidRPr="000562CB" w:rsidRDefault="00A8085B" w:rsidP="00A8085B">
      <w:pPr>
        <w:pStyle w:val="ListParagraph"/>
        <w:numPr>
          <w:ilvl w:val="0"/>
          <w:numId w:val="4"/>
        </w:numPr>
        <w:rPr>
          <w:sz w:val="24"/>
          <w:szCs w:val="24"/>
        </w:rPr>
      </w:pPr>
      <w:r w:rsidRPr="000562CB">
        <w:rPr>
          <w:sz w:val="24"/>
          <w:szCs w:val="24"/>
        </w:rPr>
        <w:t>Ageing</w:t>
      </w:r>
    </w:p>
    <w:p w14:paraId="2F8104DB" w14:textId="77777777" w:rsidR="00A8085B" w:rsidRPr="000562CB" w:rsidRDefault="00A8085B" w:rsidP="00A8085B">
      <w:pPr>
        <w:pStyle w:val="ListParagraph"/>
        <w:numPr>
          <w:ilvl w:val="0"/>
          <w:numId w:val="4"/>
        </w:numPr>
        <w:rPr>
          <w:sz w:val="24"/>
          <w:szCs w:val="24"/>
        </w:rPr>
      </w:pPr>
      <w:r w:rsidRPr="000562CB">
        <w:rPr>
          <w:sz w:val="24"/>
          <w:szCs w:val="24"/>
        </w:rPr>
        <w:t>Carers</w:t>
      </w:r>
    </w:p>
    <w:p w14:paraId="03A42279" w14:textId="77777777" w:rsidR="00A8085B" w:rsidRPr="000562CB" w:rsidRDefault="00A8085B" w:rsidP="00A8085B">
      <w:pPr>
        <w:pStyle w:val="ListParagraph"/>
        <w:numPr>
          <w:ilvl w:val="0"/>
          <w:numId w:val="4"/>
        </w:numPr>
        <w:rPr>
          <w:sz w:val="24"/>
          <w:szCs w:val="24"/>
        </w:rPr>
      </w:pPr>
      <w:r w:rsidRPr="000562CB">
        <w:rPr>
          <w:sz w:val="24"/>
          <w:szCs w:val="24"/>
        </w:rPr>
        <w:t>Child and Family Support</w:t>
      </w:r>
    </w:p>
    <w:p w14:paraId="4ACB386D" w14:textId="77777777" w:rsidR="00A8085B" w:rsidRPr="000562CB" w:rsidRDefault="00A8085B" w:rsidP="00A8085B">
      <w:pPr>
        <w:pStyle w:val="ListParagraph"/>
        <w:numPr>
          <w:ilvl w:val="0"/>
          <w:numId w:val="4"/>
        </w:numPr>
        <w:rPr>
          <w:sz w:val="24"/>
          <w:szCs w:val="24"/>
        </w:rPr>
      </w:pPr>
      <w:r w:rsidRPr="000562CB">
        <w:rPr>
          <w:sz w:val="24"/>
          <w:szCs w:val="24"/>
        </w:rPr>
        <w:t>Community Connections</w:t>
      </w:r>
    </w:p>
    <w:p w14:paraId="71407779" w14:textId="77777777" w:rsidR="00A8085B" w:rsidRPr="000562CB" w:rsidRDefault="00A8085B" w:rsidP="00A8085B">
      <w:pPr>
        <w:pStyle w:val="ListParagraph"/>
        <w:numPr>
          <w:ilvl w:val="0"/>
          <w:numId w:val="4"/>
        </w:numPr>
        <w:rPr>
          <w:sz w:val="24"/>
          <w:szCs w:val="24"/>
        </w:rPr>
      </w:pPr>
      <w:r w:rsidRPr="000562CB">
        <w:rPr>
          <w:sz w:val="24"/>
          <w:szCs w:val="24"/>
        </w:rPr>
        <w:t>Concessions</w:t>
      </w:r>
    </w:p>
    <w:p w14:paraId="513460E8" w14:textId="77777777" w:rsidR="00A8085B" w:rsidRPr="000562CB" w:rsidRDefault="00A8085B" w:rsidP="00A8085B">
      <w:pPr>
        <w:pStyle w:val="ListParagraph"/>
        <w:numPr>
          <w:ilvl w:val="0"/>
          <w:numId w:val="4"/>
        </w:numPr>
        <w:rPr>
          <w:sz w:val="24"/>
          <w:szCs w:val="24"/>
        </w:rPr>
      </w:pPr>
      <w:r w:rsidRPr="000562CB">
        <w:rPr>
          <w:sz w:val="24"/>
          <w:szCs w:val="24"/>
        </w:rPr>
        <w:t>Disability Reform</w:t>
      </w:r>
    </w:p>
    <w:p w14:paraId="6176792C" w14:textId="77777777" w:rsidR="00A8085B" w:rsidRPr="000562CB" w:rsidRDefault="00A8085B" w:rsidP="00A8085B">
      <w:pPr>
        <w:pStyle w:val="ListParagraph"/>
        <w:numPr>
          <w:ilvl w:val="0"/>
          <w:numId w:val="4"/>
        </w:numPr>
        <w:rPr>
          <w:sz w:val="24"/>
          <w:szCs w:val="24"/>
        </w:rPr>
      </w:pPr>
      <w:r w:rsidRPr="000562CB">
        <w:rPr>
          <w:sz w:val="24"/>
          <w:szCs w:val="24"/>
        </w:rPr>
        <w:t>Disability Services</w:t>
      </w:r>
    </w:p>
    <w:p w14:paraId="19138579" w14:textId="77777777" w:rsidR="00A8085B" w:rsidRPr="000562CB" w:rsidRDefault="00A8085B" w:rsidP="00A8085B">
      <w:pPr>
        <w:pStyle w:val="ListParagraph"/>
        <w:numPr>
          <w:ilvl w:val="0"/>
          <w:numId w:val="4"/>
        </w:numPr>
        <w:rPr>
          <w:sz w:val="24"/>
          <w:szCs w:val="24"/>
        </w:rPr>
      </w:pPr>
      <w:r w:rsidRPr="000562CB">
        <w:rPr>
          <w:sz w:val="24"/>
          <w:szCs w:val="24"/>
        </w:rPr>
        <w:t>Exceptional Needs</w:t>
      </w:r>
    </w:p>
    <w:p w14:paraId="1CF4296F" w14:textId="77777777" w:rsidR="00A8085B" w:rsidRPr="000562CB" w:rsidRDefault="00A8085B" w:rsidP="00A8085B">
      <w:pPr>
        <w:pStyle w:val="ListParagraph"/>
        <w:numPr>
          <w:ilvl w:val="0"/>
          <w:numId w:val="4"/>
        </w:numPr>
        <w:rPr>
          <w:sz w:val="24"/>
          <w:szCs w:val="24"/>
        </w:rPr>
      </w:pPr>
      <w:r w:rsidRPr="000562CB">
        <w:rPr>
          <w:sz w:val="24"/>
          <w:szCs w:val="24"/>
        </w:rPr>
        <w:t>Gambling Harm</w:t>
      </w:r>
    </w:p>
    <w:p w14:paraId="5DE63CD2" w14:textId="77777777" w:rsidR="00A8085B" w:rsidRPr="000562CB" w:rsidRDefault="00A8085B" w:rsidP="00A8085B">
      <w:pPr>
        <w:pStyle w:val="ListParagraph"/>
        <w:numPr>
          <w:ilvl w:val="0"/>
          <w:numId w:val="4"/>
        </w:numPr>
        <w:rPr>
          <w:sz w:val="24"/>
          <w:szCs w:val="24"/>
        </w:rPr>
      </w:pPr>
      <w:r w:rsidRPr="000562CB">
        <w:rPr>
          <w:sz w:val="24"/>
          <w:szCs w:val="24"/>
        </w:rPr>
        <w:t>Grants</w:t>
      </w:r>
    </w:p>
    <w:p w14:paraId="64B838A7" w14:textId="77777777" w:rsidR="00A8085B" w:rsidRPr="000562CB" w:rsidRDefault="00A8085B" w:rsidP="00A8085B">
      <w:pPr>
        <w:pStyle w:val="ListParagraph"/>
        <w:numPr>
          <w:ilvl w:val="0"/>
          <w:numId w:val="4"/>
        </w:numPr>
        <w:rPr>
          <w:sz w:val="24"/>
          <w:szCs w:val="24"/>
        </w:rPr>
      </w:pPr>
      <w:r w:rsidRPr="000562CB">
        <w:rPr>
          <w:sz w:val="24"/>
          <w:szCs w:val="24"/>
        </w:rPr>
        <w:t>Homelessness</w:t>
      </w:r>
    </w:p>
    <w:p w14:paraId="0A623BE2" w14:textId="77777777" w:rsidR="00A8085B" w:rsidRPr="000562CB" w:rsidRDefault="00A8085B" w:rsidP="00A8085B">
      <w:pPr>
        <w:pStyle w:val="ListParagraph"/>
        <w:numPr>
          <w:ilvl w:val="0"/>
          <w:numId w:val="4"/>
        </w:numPr>
        <w:rPr>
          <w:sz w:val="24"/>
          <w:szCs w:val="24"/>
        </w:rPr>
      </w:pPr>
      <w:r w:rsidRPr="000562CB">
        <w:rPr>
          <w:sz w:val="24"/>
          <w:szCs w:val="24"/>
        </w:rPr>
        <w:t>Interpreting and Translating</w:t>
      </w:r>
    </w:p>
    <w:p w14:paraId="759FFF13" w14:textId="77777777" w:rsidR="00A8085B" w:rsidRPr="000562CB" w:rsidRDefault="00A8085B" w:rsidP="00A8085B">
      <w:pPr>
        <w:pStyle w:val="ListParagraph"/>
        <w:numPr>
          <w:ilvl w:val="0"/>
          <w:numId w:val="4"/>
        </w:numPr>
        <w:rPr>
          <w:sz w:val="24"/>
          <w:szCs w:val="24"/>
        </w:rPr>
      </w:pPr>
      <w:r w:rsidRPr="000562CB">
        <w:rPr>
          <w:sz w:val="24"/>
          <w:szCs w:val="24"/>
        </w:rPr>
        <w:t>LGBTIQA+</w:t>
      </w:r>
    </w:p>
    <w:p w14:paraId="16098207" w14:textId="77777777" w:rsidR="00A8085B" w:rsidRPr="000562CB" w:rsidRDefault="00A8085B" w:rsidP="00A8085B">
      <w:pPr>
        <w:pStyle w:val="ListParagraph"/>
        <w:numPr>
          <w:ilvl w:val="0"/>
          <w:numId w:val="4"/>
        </w:numPr>
        <w:rPr>
          <w:sz w:val="24"/>
          <w:szCs w:val="24"/>
        </w:rPr>
      </w:pPr>
      <w:r w:rsidRPr="000562CB">
        <w:rPr>
          <w:sz w:val="24"/>
          <w:szCs w:val="24"/>
        </w:rPr>
        <w:t>NGO and Sector Support</w:t>
      </w:r>
    </w:p>
    <w:p w14:paraId="05CDFF6B" w14:textId="77777777" w:rsidR="00A8085B" w:rsidRPr="000562CB" w:rsidRDefault="00A8085B" w:rsidP="00A8085B">
      <w:pPr>
        <w:pStyle w:val="ListParagraph"/>
        <w:numPr>
          <w:ilvl w:val="0"/>
          <w:numId w:val="4"/>
        </w:numPr>
        <w:rPr>
          <w:sz w:val="24"/>
          <w:szCs w:val="24"/>
        </w:rPr>
      </w:pPr>
      <w:r w:rsidRPr="000562CB">
        <w:rPr>
          <w:sz w:val="24"/>
          <w:szCs w:val="24"/>
        </w:rPr>
        <w:t>Remote and Regional</w:t>
      </w:r>
    </w:p>
    <w:p w14:paraId="4ACC5A2D" w14:textId="77777777" w:rsidR="00A8085B" w:rsidRPr="000562CB" w:rsidRDefault="00A8085B" w:rsidP="00A8085B">
      <w:pPr>
        <w:pStyle w:val="ListParagraph"/>
        <w:numPr>
          <w:ilvl w:val="0"/>
          <w:numId w:val="4"/>
        </w:numPr>
        <w:rPr>
          <w:sz w:val="24"/>
          <w:szCs w:val="24"/>
        </w:rPr>
      </w:pPr>
      <w:r w:rsidRPr="000562CB">
        <w:rPr>
          <w:sz w:val="24"/>
          <w:szCs w:val="24"/>
        </w:rPr>
        <w:lastRenderedPageBreak/>
        <w:t>Screening Checks</w:t>
      </w:r>
    </w:p>
    <w:p w14:paraId="1CAC53EE" w14:textId="77777777" w:rsidR="00A8085B" w:rsidRPr="000562CB" w:rsidRDefault="00A8085B" w:rsidP="00A8085B">
      <w:pPr>
        <w:pStyle w:val="ListParagraph"/>
        <w:numPr>
          <w:ilvl w:val="0"/>
          <w:numId w:val="4"/>
        </w:numPr>
        <w:rPr>
          <w:sz w:val="24"/>
          <w:szCs w:val="24"/>
        </w:rPr>
      </w:pPr>
      <w:r w:rsidRPr="000562CB">
        <w:rPr>
          <w:sz w:val="24"/>
          <w:szCs w:val="24"/>
        </w:rPr>
        <w:t>Women’s Services</w:t>
      </w:r>
    </w:p>
    <w:p w14:paraId="1A1C944D" w14:textId="77777777" w:rsidR="00A8085B" w:rsidRPr="000562CB" w:rsidRDefault="00A8085B" w:rsidP="00A8085B">
      <w:pPr>
        <w:pStyle w:val="ListParagraph"/>
        <w:numPr>
          <w:ilvl w:val="0"/>
          <w:numId w:val="4"/>
        </w:numPr>
        <w:rPr>
          <w:sz w:val="24"/>
          <w:szCs w:val="24"/>
        </w:rPr>
      </w:pPr>
      <w:r w:rsidRPr="000562CB">
        <w:rPr>
          <w:sz w:val="24"/>
          <w:szCs w:val="24"/>
        </w:rPr>
        <w:t xml:space="preserve">Youth </w:t>
      </w:r>
    </w:p>
    <w:p w14:paraId="55720259" w14:textId="77777777" w:rsidR="00A8085B" w:rsidRPr="000562CB" w:rsidRDefault="00A8085B" w:rsidP="00A8085B">
      <w:pPr>
        <w:pStyle w:val="ListParagraph"/>
        <w:numPr>
          <w:ilvl w:val="0"/>
          <w:numId w:val="4"/>
        </w:numPr>
        <w:rPr>
          <w:sz w:val="24"/>
          <w:szCs w:val="24"/>
        </w:rPr>
      </w:pPr>
      <w:r w:rsidRPr="000562CB">
        <w:rPr>
          <w:sz w:val="24"/>
          <w:szCs w:val="24"/>
        </w:rPr>
        <w:t>Youth Justice</w:t>
      </w:r>
    </w:p>
    <w:p w14:paraId="0A78C248" w14:textId="77777777" w:rsidR="000B3363" w:rsidRPr="00B062E6" w:rsidRDefault="000B3363" w:rsidP="000B3363">
      <w:pPr>
        <w:pStyle w:val="Heading1"/>
        <w:rPr>
          <w:color w:val="008087"/>
        </w:rPr>
      </w:pPr>
      <w:bookmarkStart w:id="22" w:name="_Toc190340896"/>
      <w:bookmarkStart w:id="23" w:name="_Toc191994467"/>
      <w:r w:rsidRPr="00B062E6">
        <w:rPr>
          <w:color w:val="008087"/>
        </w:rPr>
        <w:t>Work Perks</w:t>
      </w:r>
      <w:bookmarkEnd w:id="22"/>
      <w:bookmarkEnd w:id="23"/>
    </w:p>
    <w:p w14:paraId="55C1FEE6" w14:textId="77777777" w:rsidR="000B3363" w:rsidRPr="00B062E6" w:rsidRDefault="000B3363" w:rsidP="000B3363">
      <w:pPr>
        <w:pStyle w:val="Heading2"/>
        <w:rPr>
          <w:color w:val="008087"/>
        </w:rPr>
      </w:pPr>
      <w:bookmarkStart w:id="24" w:name="_Toc191994468"/>
      <w:r w:rsidRPr="00B062E6">
        <w:rPr>
          <w:color w:val="008087"/>
        </w:rPr>
        <w:t>Flexible working</w:t>
      </w:r>
      <w:bookmarkEnd w:id="24"/>
    </w:p>
    <w:p w14:paraId="0E5CA6FB" w14:textId="77777777" w:rsidR="000B3363" w:rsidRPr="000562CB" w:rsidRDefault="000B3363" w:rsidP="000B3363">
      <w:pPr>
        <w:rPr>
          <w:sz w:val="24"/>
          <w:szCs w:val="24"/>
        </w:rPr>
      </w:pPr>
      <w:r w:rsidRPr="000562CB">
        <w:rPr>
          <w:sz w:val="24"/>
          <w:szCs w:val="24"/>
        </w:rPr>
        <w:t>Depending on your role, you may be able to work flexibly. This offers an alternative approach to getting work done by varying the hours worked and the location of working. Such arrangements are designed to promote balance between work, personal commitments and individual needs.</w:t>
      </w:r>
    </w:p>
    <w:p w14:paraId="137EB477" w14:textId="77777777" w:rsidR="000B3363" w:rsidRPr="00B062E6" w:rsidRDefault="000B3363" w:rsidP="000B3363">
      <w:pPr>
        <w:pStyle w:val="Heading2"/>
        <w:rPr>
          <w:color w:val="008087"/>
        </w:rPr>
      </w:pPr>
      <w:bookmarkStart w:id="25" w:name="_Toc191994469"/>
      <w:r w:rsidRPr="00B062E6">
        <w:rPr>
          <w:color w:val="008087"/>
        </w:rPr>
        <w:t>Salary sacrifice</w:t>
      </w:r>
      <w:bookmarkEnd w:id="25"/>
    </w:p>
    <w:p w14:paraId="7EDE056E" w14:textId="77777777" w:rsidR="000B3363" w:rsidRPr="000562CB" w:rsidRDefault="000B3363" w:rsidP="000B3363">
      <w:pPr>
        <w:rPr>
          <w:sz w:val="24"/>
          <w:szCs w:val="24"/>
        </w:rPr>
      </w:pPr>
      <w:r w:rsidRPr="000562CB">
        <w:rPr>
          <w:sz w:val="24"/>
          <w:szCs w:val="24"/>
        </w:rPr>
        <w:t>Reduce your taxable income with salary packaging. Available to full-time, part-time and casual employees of the South Australian Government, salary packaging allows employees to pay for certain expenses with money set aside from pre-tax salaries.</w:t>
      </w:r>
    </w:p>
    <w:p w14:paraId="268342C0" w14:textId="77777777" w:rsidR="000B3363" w:rsidRPr="00B062E6" w:rsidRDefault="000B3363" w:rsidP="000B3363">
      <w:pPr>
        <w:pStyle w:val="Heading2"/>
        <w:rPr>
          <w:color w:val="008087"/>
        </w:rPr>
      </w:pPr>
      <w:bookmarkStart w:id="26" w:name="_Toc191994470"/>
      <w:r w:rsidRPr="00B062E6">
        <w:rPr>
          <w:color w:val="008087"/>
        </w:rPr>
        <w:t>Personal development and learning</w:t>
      </w:r>
      <w:bookmarkEnd w:id="26"/>
    </w:p>
    <w:p w14:paraId="14A487E9" w14:textId="77777777" w:rsidR="000B3363" w:rsidRPr="000562CB" w:rsidRDefault="000B3363" w:rsidP="000B3363">
      <w:pPr>
        <w:rPr>
          <w:sz w:val="24"/>
          <w:szCs w:val="24"/>
        </w:rPr>
      </w:pPr>
      <w:r w:rsidRPr="000562CB">
        <w:rPr>
          <w:sz w:val="24"/>
          <w:szCs w:val="24"/>
        </w:rPr>
        <w:t>DHS is committed to building the capability, performance and continuous growth of its workforce. We offer a variety of avenues for learning and professional development, including mandatory training, short courses and online programs.</w:t>
      </w:r>
    </w:p>
    <w:p w14:paraId="06FEA60D" w14:textId="77777777" w:rsidR="000B3363" w:rsidRPr="00B062E6" w:rsidRDefault="000B3363" w:rsidP="000B3363">
      <w:pPr>
        <w:pStyle w:val="Heading2"/>
        <w:rPr>
          <w:color w:val="008087"/>
        </w:rPr>
      </w:pPr>
      <w:bookmarkStart w:id="27" w:name="_Toc191994471"/>
      <w:r w:rsidRPr="00B062E6">
        <w:rPr>
          <w:color w:val="008087"/>
        </w:rPr>
        <w:t>Your wellbeing</w:t>
      </w:r>
      <w:bookmarkEnd w:id="27"/>
    </w:p>
    <w:p w14:paraId="7235013C" w14:textId="77777777" w:rsidR="000B3363" w:rsidRPr="000562CB" w:rsidRDefault="000B3363" w:rsidP="000B3363">
      <w:pPr>
        <w:rPr>
          <w:sz w:val="24"/>
          <w:szCs w:val="24"/>
        </w:rPr>
      </w:pPr>
      <w:r w:rsidRPr="000562CB">
        <w:rPr>
          <w:sz w:val="24"/>
          <w:szCs w:val="24"/>
        </w:rPr>
        <w:t>We are continually focussed on providing supports to enhance your wellbeing. Some of our offerings include an annual flu vaccination program, Employee Assistance Program, health corporate partnership offers, Red Cross blood drive team and many more activities built around safety and wellbeing throughout each year.</w:t>
      </w:r>
    </w:p>
    <w:p w14:paraId="767D43B2" w14:textId="77777777" w:rsidR="000B3363" w:rsidRPr="00B062E6" w:rsidRDefault="000B3363" w:rsidP="000B3363">
      <w:pPr>
        <w:pStyle w:val="Heading2"/>
        <w:rPr>
          <w:color w:val="008087"/>
        </w:rPr>
      </w:pPr>
      <w:bookmarkStart w:id="28" w:name="_Toc191994472"/>
      <w:r w:rsidRPr="00B062E6">
        <w:rPr>
          <w:color w:val="008087"/>
        </w:rPr>
        <w:t>Superannuation</w:t>
      </w:r>
      <w:bookmarkEnd w:id="28"/>
    </w:p>
    <w:p w14:paraId="3E9AE8E5" w14:textId="77777777" w:rsidR="000B3363" w:rsidRPr="000562CB" w:rsidRDefault="000B3363" w:rsidP="000B3363">
      <w:pPr>
        <w:rPr>
          <w:sz w:val="24"/>
          <w:szCs w:val="24"/>
        </w:rPr>
      </w:pPr>
      <w:r w:rsidRPr="000562CB">
        <w:rPr>
          <w:sz w:val="24"/>
          <w:szCs w:val="24"/>
        </w:rPr>
        <w:t>Super SA is a dedicated fund for SA public sector employees. With Triple S, you can contribute much more to your super each year. Unlike most super funds with a $27,500 annual contribution cap, Triple S members have a lifetime cap but no annual cap. You can also select your own super fund.</w:t>
      </w:r>
    </w:p>
    <w:p w14:paraId="57E55BF4" w14:textId="77777777" w:rsidR="000B3363" w:rsidRPr="00B062E6" w:rsidRDefault="000B3363" w:rsidP="000B3363">
      <w:pPr>
        <w:pStyle w:val="Heading2"/>
        <w:rPr>
          <w:color w:val="008087"/>
        </w:rPr>
      </w:pPr>
      <w:bookmarkStart w:id="29" w:name="_Toc191994473"/>
      <w:r w:rsidRPr="00B062E6">
        <w:rPr>
          <w:color w:val="008087"/>
        </w:rPr>
        <w:t>Health and fitness</w:t>
      </w:r>
      <w:bookmarkEnd w:id="29"/>
    </w:p>
    <w:p w14:paraId="1505736A" w14:textId="77777777" w:rsidR="000B3363" w:rsidRPr="000562CB" w:rsidRDefault="000B3363" w:rsidP="000B3363">
      <w:pPr>
        <w:rPr>
          <w:sz w:val="24"/>
          <w:szCs w:val="24"/>
        </w:rPr>
      </w:pPr>
      <w:r w:rsidRPr="000562CB">
        <w:rPr>
          <w:sz w:val="24"/>
          <w:szCs w:val="24"/>
        </w:rPr>
        <w:t xml:space="preserve">Fitness Passport is a discounted workplace health and fitness program available to employees and their families that provides unlimited access to </w:t>
      </w:r>
      <w:proofErr w:type="gramStart"/>
      <w:r w:rsidRPr="000562CB">
        <w:rPr>
          <w:sz w:val="24"/>
          <w:szCs w:val="24"/>
        </w:rPr>
        <w:t>a number of</w:t>
      </w:r>
      <w:proofErr w:type="gramEnd"/>
      <w:r w:rsidRPr="000562CB">
        <w:rPr>
          <w:sz w:val="24"/>
          <w:szCs w:val="24"/>
        </w:rPr>
        <w:t xml:space="preserve"> fitness facilities for a fraction of the price of a regular gym membership.</w:t>
      </w:r>
    </w:p>
    <w:p w14:paraId="4442D367" w14:textId="77777777" w:rsidR="00857810" w:rsidRPr="00B062E6" w:rsidRDefault="00857810" w:rsidP="00857810">
      <w:pPr>
        <w:pStyle w:val="Heading1"/>
        <w:rPr>
          <w:color w:val="008087"/>
        </w:rPr>
      </w:pPr>
      <w:bookmarkStart w:id="30" w:name="_Toc190340898"/>
      <w:bookmarkStart w:id="31" w:name="_Toc191994474"/>
      <w:r w:rsidRPr="00B062E6">
        <w:rPr>
          <w:color w:val="008087"/>
        </w:rPr>
        <w:lastRenderedPageBreak/>
        <w:t>Thank you</w:t>
      </w:r>
      <w:bookmarkEnd w:id="30"/>
      <w:bookmarkEnd w:id="31"/>
    </w:p>
    <w:p w14:paraId="52B4E6E4" w14:textId="77777777" w:rsidR="00857810" w:rsidRPr="000562CB" w:rsidRDefault="00857810" w:rsidP="00857810">
      <w:pPr>
        <w:rPr>
          <w:sz w:val="24"/>
          <w:szCs w:val="24"/>
        </w:rPr>
      </w:pPr>
      <w:r w:rsidRPr="000562CB">
        <w:rPr>
          <w:sz w:val="24"/>
          <w:szCs w:val="24"/>
        </w:rPr>
        <w:t>More information:</w:t>
      </w:r>
    </w:p>
    <w:p w14:paraId="010A95D1" w14:textId="503D10D9" w:rsidR="00857810" w:rsidRPr="000562CB" w:rsidRDefault="00857810" w:rsidP="00857810">
      <w:pPr>
        <w:rPr>
          <w:sz w:val="24"/>
          <w:szCs w:val="24"/>
        </w:rPr>
      </w:pPr>
      <w:hyperlink r:id="rId12" w:history="1">
        <w:r w:rsidRPr="00857810">
          <w:rPr>
            <w:rStyle w:val="Hyperlink"/>
            <w:sz w:val="24"/>
            <w:szCs w:val="24"/>
          </w:rPr>
          <w:t>Work with us</w:t>
        </w:r>
      </w:hyperlink>
      <w:r w:rsidRPr="000562CB">
        <w:rPr>
          <w:sz w:val="24"/>
          <w:szCs w:val="24"/>
        </w:rPr>
        <w:t xml:space="preserve"> </w:t>
      </w:r>
    </w:p>
    <w:p w14:paraId="0E22365D" w14:textId="77777777" w:rsidR="00857810" w:rsidRPr="000562CB" w:rsidRDefault="00857810" w:rsidP="00857810">
      <w:pPr>
        <w:rPr>
          <w:sz w:val="24"/>
          <w:szCs w:val="24"/>
        </w:rPr>
      </w:pPr>
      <w:hyperlink r:id="rId13" w:history="1">
        <w:r w:rsidRPr="000562CB">
          <w:rPr>
            <w:rStyle w:val="Hyperlink"/>
            <w:sz w:val="24"/>
            <w:szCs w:val="24"/>
          </w:rPr>
          <w:t>DHS Organisational Chart</w:t>
        </w:r>
      </w:hyperlink>
    </w:p>
    <w:p w14:paraId="518C538B" w14:textId="77777777" w:rsidR="00857810" w:rsidRPr="000562CB" w:rsidRDefault="00857810" w:rsidP="00857810">
      <w:pPr>
        <w:rPr>
          <w:sz w:val="24"/>
          <w:szCs w:val="24"/>
        </w:rPr>
      </w:pPr>
      <w:r w:rsidRPr="000562CB">
        <w:rPr>
          <w:sz w:val="24"/>
          <w:szCs w:val="24"/>
        </w:rPr>
        <w:t xml:space="preserve">Social media, find us on Facebook, Instagram, LinkedIn and X at </w:t>
      </w:r>
      <w:proofErr w:type="spellStart"/>
      <w:r w:rsidRPr="000562CB">
        <w:rPr>
          <w:sz w:val="24"/>
          <w:szCs w:val="24"/>
        </w:rPr>
        <w:t>HumanServicesSA</w:t>
      </w:r>
      <w:proofErr w:type="spellEnd"/>
    </w:p>
    <w:p w14:paraId="31830206" w14:textId="77777777" w:rsidR="00AC6365" w:rsidRDefault="00AC6365" w:rsidP="00AC6365"/>
    <w:sectPr w:rsidR="00AC636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723D" w14:textId="77777777" w:rsidR="006F563F" w:rsidRDefault="006F563F" w:rsidP="00AC6365">
      <w:pPr>
        <w:spacing w:after="0" w:line="240" w:lineRule="auto"/>
      </w:pPr>
      <w:r>
        <w:separator/>
      </w:r>
    </w:p>
  </w:endnote>
  <w:endnote w:type="continuationSeparator" w:id="0">
    <w:p w14:paraId="2B727119" w14:textId="77777777" w:rsidR="006F563F" w:rsidRDefault="006F563F" w:rsidP="00AC6365">
      <w:pPr>
        <w:spacing w:after="0" w:line="240" w:lineRule="auto"/>
      </w:pPr>
      <w:r>
        <w:continuationSeparator/>
      </w:r>
    </w:p>
  </w:endnote>
  <w:endnote w:type="continuationNotice" w:id="1">
    <w:p w14:paraId="4DD03A45" w14:textId="77777777" w:rsidR="006F563F" w:rsidRDefault="006F5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00EA" w14:textId="1EBEAAFA" w:rsidR="00AC6365" w:rsidRDefault="00AC6365">
    <w:pPr>
      <w:pStyle w:val="Footer"/>
    </w:pPr>
    <w:r>
      <w:rPr>
        <w:noProof/>
      </w:rPr>
      <mc:AlternateContent>
        <mc:Choice Requires="wps">
          <w:drawing>
            <wp:anchor distT="0" distB="0" distL="0" distR="0" simplePos="0" relativeHeight="251658244" behindDoc="0" locked="0" layoutInCell="1" allowOverlap="1" wp14:anchorId="13B2034D" wp14:editId="32B46223">
              <wp:simplePos x="635" y="635"/>
              <wp:positionH relativeFrom="page">
                <wp:align>center</wp:align>
              </wp:positionH>
              <wp:positionV relativeFrom="page">
                <wp:align>bottom</wp:align>
              </wp:positionV>
              <wp:extent cx="680720" cy="379730"/>
              <wp:effectExtent l="0" t="0" r="5080" b="0"/>
              <wp:wrapNone/>
              <wp:docPr id="100369376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006A6757" w14:textId="0D0B1308"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2034D" id="_x0000_t202" coordsize="21600,21600" o:spt="202" path="m,l,21600r21600,l21600,xe">
              <v:stroke joinstyle="miter"/>
              <v:path gradientshapeok="t" o:connecttype="rect"/>
            </v:shapetype>
            <v:shape id="Text Box 5" o:spid="_x0000_s1028" type="#_x0000_t202" alt="OFFICIAL " style="position:absolute;margin-left:0;margin-top:0;width:53.6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ayDwIAABwEAAAOAAAAZHJzL2Uyb0RvYy54bWysU01v2zAMvQ/YfxB0X+ykWNM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lMmsg8CAAAc&#10;BAAADgAAAAAAAAAAAAAAAAAuAgAAZHJzL2Uyb0RvYy54bWxQSwECLQAUAAYACAAAACEAapKpttoA&#10;AAAEAQAADwAAAAAAAAAAAAAAAABpBAAAZHJzL2Rvd25yZXYueG1sUEsFBgAAAAAEAAQA8wAAAHAF&#10;AAAAAA==&#10;" filled="f" stroked="f">
              <v:fill o:detectmouseclick="t"/>
              <v:textbox style="mso-fit-shape-to-text:t" inset="0,0,0,15pt">
                <w:txbxContent>
                  <w:p w14:paraId="006A6757" w14:textId="0D0B1308"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C8A8" w14:textId="3959CD9B" w:rsidR="00AC6365" w:rsidRDefault="00AC6365">
    <w:pPr>
      <w:pStyle w:val="Footer"/>
    </w:pPr>
    <w:r>
      <w:rPr>
        <w:noProof/>
      </w:rPr>
      <mc:AlternateContent>
        <mc:Choice Requires="wps">
          <w:drawing>
            <wp:anchor distT="0" distB="0" distL="0" distR="0" simplePos="0" relativeHeight="251658245" behindDoc="0" locked="0" layoutInCell="1" allowOverlap="1" wp14:anchorId="45317D1D" wp14:editId="7A94DA1B">
              <wp:simplePos x="914400" y="10074303"/>
              <wp:positionH relativeFrom="page">
                <wp:align>center</wp:align>
              </wp:positionH>
              <wp:positionV relativeFrom="page">
                <wp:align>bottom</wp:align>
              </wp:positionV>
              <wp:extent cx="680720" cy="379730"/>
              <wp:effectExtent l="0" t="0" r="5080" b="0"/>
              <wp:wrapNone/>
              <wp:docPr id="28042065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42F1A1F3" w14:textId="4ADECBC1"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317D1D" id="_x0000_t202" coordsize="21600,21600" o:spt="202" path="m,l,21600r21600,l21600,xe">
              <v:stroke joinstyle="miter"/>
              <v:path gradientshapeok="t" o:connecttype="rect"/>
            </v:shapetype>
            <v:shape id="Text Box 6" o:spid="_x0000_s1029" type="#_x0000_t202" alt="OFFICIAL " style="position:absolute;margin-left:0;margin-top:0;width:53.6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" filled="f" stroked="f">
              <v:fill o:detectmouseclick="t"/>
              <v:textbox style="mso-fit-shape-to-text:t" inset="0,0,0,15pt">
                <w:txbxContent>
                  <w:p w14:paraId="42F1A1F3" w14:textId="4ADECBC1"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36BF" w14:textId="0FDD610B" w:rsidR="00AC6365" w:rsidRDefault="00AC6365">
    <w:pPr>
      <w:pStyle w:val="Footer"/>
    </w:pPr>
    <w:r>
      <w:rPr>
        <w:noProof/>
      </w:rPr>
      <mc:AlternateContent>
        <mc:Choice Requires="wps">
          <w:drawing>
            <wp:anchor distT="0" distB="0" distL="0" distR="0" simplePos="0" relativeHeight="251658243" behindDoc="0" locked="0" layoutInCell="1" allowOverlap="1" wp14:anchorId="3AE0932D" wp14:editId="4B9A9132">
              <wp:simplePos x="635" y="635"/>
              <wp:positionH relativeFrom="page">
                <wp:align>center</wp:align>
              </wp:positionH>
              <wp:positionV relativeFrom="page">
                <wp:align>bottom</wp:align>
              </wp:positionV>
              <wp:extent cx="680720" cy="379730"/>
              <wp:effectExtent l="0" t="0" r="5080" b="0"/>
              <wp:wrapNone/>
              <wp:docPr id="313728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12BBEB0B" w14:textId="4E34D23F"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0932D" id="_x0000_t202" coordsize="21600,21600" o:spt="202" path="m,l,21600r21600,l21600,xe">
              <v:stroke joinstyle="miter"/>
              <v:path gradientshapeok="t" o:connecttype="rect"/>
            </v:shapetype>
            <v:shape id="Text Box 4" o:spid="_x0000_s1031" type="#_x0000_t202" alt="OFFICIAL " style="position:absolute;margin-left:0;margin-top:0;width:53.6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sCDwIAABwEAAAOAAAAZHJzL2Uyb0RvYy54bWysU01v2zAMvQ/YfxB0X+ykaNM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W87Ag8CAAAc&#10;BAAADgAAAAAAAAAAAAAAAAAuAgAAZHJzL2Uyb0RvYy54bWxQSwECLQAUAAYACAAAACEAapKpttoA&#10;AAAEAQAADwAAAAAAAAAAAAAAAABpBAAAZHJzL2Rvd25yZXYueG1sUEsFBgAAAAAEAAQA8wAAAHAF&#10;AAAAAA==&#10;" filled="f" stroked="f">
              <v:fill o:detectmouseclick="t"/>
              <v:textbox style="mso-fit-shape-to-text:t" inset="0,0,0,15pt">
                <w:txbxContent>
                  <w:p w14:paraId="12BBEB0B" w14:textId="4E34D23F"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F9D0" w14:textId="77777777" w:rsidR="006F563F" w:rsidRDefault="006F563F" w:rsidP="00AC6365">
      <w:pPr>
        <w:spacing w:after="0" w:line="240" w:lineRule="auto"/>
      </w:pPr>
      <w:r>
        <w:separator/>
      </w:r>
    </w:p>
  </w:footnote>
  <w:footnote w:type="continuationSeparator" w:id="0">
    <w:p w14:paraId="474DCA3A" w14:textId="77777777" w:rsidR="006F563F" w:rsidRDefault="006F563F" w:rsidP="00AC6365">
      <w:pPr>
        <w:spacing w:after="0" w:line="240" w:lineRule="auto"/>
      </w:pPr>
      <w:r>
        <w:continuationSeparator/>
      </w:r>
    </w:p>
  </w:footnote>
  <w:footnote w:type="continuationNotice" w:id="1">
    <w:p w14:paraId="42503F54" w14:textId="77777777" w:rsidR="006F563F" w:rsidRDefault="006F5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5E02" w14:textId="3F5E8E0B" w:rsidR="00AC6365" w:rsidRDefault="00AC6365">
    <w:pPr>
      <w:pStyle w:val="Header"/>
    </w:pPr>
    <w:r>
      <w:rPr>
        <w:noProof/>
      </w:rPr>
      <mc:AlternateContent>
        <mc:Choice Requires="wps">
          <w:drawing>
            <wp:anchor distT="0" distB="0" distL="0" distR="0" simplePos="0" relativeHeight="251658241" behindDoc="0" locked="0" layoutInCell="1" allowOverlap="1" wp14:anchorId="297C1CA8" wp14:editId="61C19C4B">
              <wp:simplePos x="635" y="635"/>
              <wp:positionH relativeFrom="page">
                <wp:align>center</wp:align>
              </wp:positionH>
              <wp:positionV relativeFrom="page">
                <wp:align>top</wp:align>
              </wp:positionV>
              <wp:extent cx="686435" cy="379730"/>
              <wp:effectExtent l="0" t="0" r="18415" b="1270"/>
              <wp:wrapNone/>
              <wp:docPr id="1371249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240A481" w14:textId="74F3BA02"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C1CA8"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fill o:detectmouseclick="t"/>
              <v:textbox style="mso-fit-shape-to-text:t" inset="0,15pt,0,0">
                <w:txbxContent>
                  <w:p w14:paraId="3240A481" w14:textId="74F3BA02"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DFB4" w14:textId="20D37655" w:rsidR="00AC6365" w:rsidRDefault="00AC6365">
    <w:pPr>
      <w:pStyle w:val="Header"/>
    </w:pPr>
    <w:r>
      <w:rPr>
        <w:noProof/>
      </w:rPr>
      <mc:AlternateContent>
        <mc:Choice Requires="wps">
          <w:drawing>
            <wp:anchor distT="0" distB="0" distL="0" distR="0" simplePos="0" relativeHeight="251658242" behindDoc="0" locked="0" layoutInCell="1" allowOverlap="1" wp14:anchorId="6B6F5672" wp14:editId="6568375D">
              <wp:simplePos x="914400" y="453224"/>
              <wp:positionH relativeFrom="page">
                <wp:align>center</wp:align>
              </wp:positionH>
              <wp:positionV relativeFrom="page">
                <wp:align>top</wp:align>
              </wp:positionV>
              <wp:extent cx="686435" cy="379730"/>
              <wp:effectExtent l="0" t="0" r="18415" b="1270"/>
              <wp:wrapNone/>
              <wp:docPr id="16448178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1C97105" w14:textId="480193A0"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F5672"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fill o:detectmouseclick="t"/>
              <v:textbox style="mso-fit-shape-to-text:t" inset="0,15pt,0,0">
                <w:txbxContent>
                  <w:p w14:paraId="21C97105" w14:textId="480193A0"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55FB" w14:textId="5BFB1625" w:rsidR="00AC6365" w:rsidRDefault="00AC6365">
    <w:pPr>
      <w:pStyle w:val="Header"/>
    </w:pPr>
    <w:r>
      <w:rPr>
        <w:noProof/>
      </w:rPr>
      <mc:AlternateContent>
        <mc:Choice Requires="wps">
          <w:drawing>
            <wp:anchor distT="0" distB="0" distL="0" distR="0" simplePos="0" relativeHeight="251658240" behindDoc="0" locked="0" layoutInCell="1" allowOverlap="1" wp14:anchorId="4A8D7749" wp14:editId="732C3001">
              <wp:simplePos x="635" y="635"/>
              <wp:positionH relativeFrom="page">
                <wp:align>center</wp:align>
              </wp:positionH>
              <wp:positionV relativeFrom="page">
                <wp:align>top</wp:align>
              </wp:positionV>
              <wp:extent cx="686435" cy="379730"/>
              <wp:effectExtent l="0" t="0" r="18415" b="1270"/>
              <wp:wrapNone/>
              <wp:docPr id="7725688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5701225" w14:textId="1774F401"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D7749"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65701225" w14:textId="1774F401" w:rsidR="00AC6365" w:rsidRPr="00AC6365" w:rsidRDefault="00AC6365" w:rsidP="00AC6365">
                    <w:pPr>
                      <w:spacing w:after="0"/>
                      <w:rPr>
                        <w:rFonts w:ascii="Arial" w:eastAsia="Arial" w:hAnsi="Arial" w:cs="Arial"/>
                        <w:noProof/>
                        <w:color w:val="A80000"/>
                        <w:sz w:val="24"/>
                        <w:szCs w:val="24"/>
                      </w:rPr>
                    </w:pPr>
                    <w:r w:rsidRPr="00AC6365">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F37"/>
    <w:multiLevelType w:val="hybridMultilevel"/>
    <w:tmpl w:val="55AC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BF4165"/>
    <w:multiLevelType w:val="hybridMultilevel"/>
    <w:tmpl w:val="1AB85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E74D55"/>
    <w:multiLevelType w:val="hybridMultilevel"/>
    <w:tmpl w:val="131A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9A3E26"/>
    <w:multiLevelType w:val="hybridMultilevel"/>
    <w:tmpl w:val="DCE8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7794543">
    <w:abstractNumId w:val="2"/>
  </w:num>
  <w:num w:numId="2" w16cid:durableId="1706172367">
    <w:abstractNumId w:val="0"/>
  </w:num>
  <w:num w:numId="3" w16cid:durableId="2019959872">
    <w:abstractNumId w:val="1"/>
  </w:num>
  <w:num w:numId="4" w16cid:durableId="1451586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65"/>
    <w:rsid w:val="000B3363"/>
    <w:rsid w:val="001A7B42"/>
    <w:rsid w:val="00286E69"/>
    <w:rsid w:val="003474FF"/>
    <w:rsid w:val="005F0A70"/>
    <w:rsid w:val="006E411A"/>
    <w:rsid w:val="006F563F"/>
    <w:rsid w:val="00730CF7"/>
    <w:rsid w:val="00857810"/>
    <w:rsid w:val="008D498B"/>
    <w:rsid w:val="00926EE1"/>
    <w:rsid w:val="00987015"/>
    <w:rsid w:val="00A6250F"/>
    <w:rsid w:val="00A8085B"/>
    <w:rsid w:val="00AC14DE"/>
    <w:rsid w:val="00AC6365"/>
    <w:rsid w:val="00B16017"/>
    <w:rsid w:val="00CE5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6BAC"/>
  <w15:chartTrackingRefBased/>
  <w15:docId w15:val="{BFCCE1F6-B41F-4B97-A796-36E77734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365"/>
    <w:rPr>
      <w:rFonts w:eastAsiaTheme="majorEastAsia" w:cstheme="majorBidi"/>
      <w:color w:val="272727" w:themeColor="text1" w:themeTint="D8"/>
    </w:rPr>
  </w:style>
  <w:style w:type="paragraph" w:styleId="Title">
    <w:name w:val="Title"/>
    <w:basedOn w:val="Normal"/>
    <w:next w:val="Normal"/>
    <w:link w:val="TitleChar"/>
    <w:uiPriority w:val="10"/>
    <w:qFormat/>
    <w:rsid w:val="00AC6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65"/>
    <w:pPr>
      <w:spacing w:before="160"/>
      <w:jc w:val="center"/>
    </w:pPr>
    <w:rPr>
      <w:i/>
      <w:iCs/>
      <w:color w:val="404040" w:themeColor="text1" w:themeTint="BF"/>
    </w:rPr>
  </w:style>
  <w:style w:type="character" w:customStyle="1" w:styleId="QuoteChar">
    <w:name w:val="Quote Char"/>
    <w:basedOn w:val="DefaultParagraphFont"/>
    <w:link w:val="Quote"/>
    <w:uiPriority w:val="29"/>
    <w:rsid w:val="00AC6365"/>
    <w:rPr>
      <w:i/>
      <w:iCs/>
      <w:color w:val="404040" w:themeColor="text1" w:themeTint="BF"/>
    </w:rPr>
  </w:style>
  <w:style w:type="paragraph" w:styleId="ListParagraph">
    <w:name w:val="List Paragraph"/>
    <w:basedOn w:val="Normal"/>
    <w:uiPriority w:val="34"/>
    <w:qFormat/>
    <w:rsid w:val="00AC6365"/>
    <w:pPr>
      <w:ind w:left="720"/>
      <w:contextualSpacing/>
    </w:pPr>
  </w:style>
  <w:style w:type="character" w:styleId="IntenseEmphasis">
    <w:name w:val="Intense Emphasis"/>
    <w:basedOn w:val="DefaultParagraphFont"/>
    <w:uiPriority w:val="21"/>
    <w:qFormat/>
    <w:rsid w:val="00AC6365"/>
    <w:rPr>
      <w:i/>
      <w:iCs/>
      <w:color w:val="0F4761" w:themeColor="accent1" w:themeShade="BF"/>
    </w:rPr>
  </w:style>
  <w:style w:type="paragraph" w:styleId="IntenseQuote">
    <w:name w:val="Intense Quote"/>
    <w:basedOn w:val="Normal"/>
    <w:next w:val="Normal"/>
    <w:link w:val="IntenseQuoteChar"/>
    <w:uiPriority w:val="30"/>
    <w:qFormat/>
    <w:rsid w:val="00AC6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365"/>
    <w:rPr>
      <w:i/>
      <w:iCs/>
      <w:color w:val="0F4761" w:themeColor="accent1" w:themeShade="BF"/>
    </w:rPr>
  </w:style>
  <w:style w:type="character" w:styleId="IntenseReference">
    <w:name w:val="Intense Reference"/>
    <w:basedOn w:val="DefaultParagraphFont"/>
    <w:uiPriority w:val="32"/>
    <w:qFormat/>
    <w:rsid w:val="00AC6365"/>
    <w:rPr>
      <w:b/>
      <w:bCs/>
      <w:smallCaps/>
      <w:color w:val="0F4761" w:themeColor="accent1" w:themeShade="BF"/>
      <w:spacing w:val="5"/>
    </w:rPr>
  </w:style>
  <w:style w:type="paragraph" w:styleId="Header">
    <w:name w:val="header"/>
    <w:basedOn w:val="Normal"/>
    <w:link w:val="HeaderChar"/>
    <w:uiPriority w:val="99"/>
    <w:unhideWhenUsed/>
    <w:rsid w:val="00AC6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365"/>
  </w:style>
  <w:style w:type="paragraph" w:styleId="Footer">
    <w:name w:val="footer"/>
    <w:basedOn w:val="Normal"/>
    <w:link w:val="FooterChar"/>
    <w:uiPriority w:val="99"/>
    <w:unhideWhenUsed/>
    <w:rsid w:val="00AC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365"/>
  </w:style>
  <w:style w:type="character" w:styleId="Hyperlink">
    <w:name w:val="Hyperlink"/>
    <w:basedOn w:val="DefaultParagraphFont"/>
    <w:uiPriority w:val="99"/>
    <w:unhideWhenUsed/>
    <w:rsid w:val="00286E69"/>
    <w:rPr>
      <w:color w:val="467886" w:themeColor="hyperlink"/>
      <w:u w:val="single"/>
    </w:rPr>
  </w:style>
  <w:style w:type="character" w:styleId="UnresolvedMention">
    <w:name w:val="Unresolved Mention"/>
    <w:basedOn w:val="DefaultParagraphFont"/>
    <w:uiPriority w:val="99"/>
    <w:semiHidden/>
    <w:unhideWhenUsed/>
    <w:rsid w:val="00857810"/>
    <w:rPr>
      <w:color w:val="605E5C"/>
      <w:shd w:val="clear" w:color="auto" w:fill="E1DFDD"/>
    </w:rPr>
  </w:style>
  <w:style w:type="paragraph" w:styleId="TOC1">
    <w:name w:val="toc 1"/>
    <w:basedOn w:val="Normal"/>
    <w:next w:val="Normal"/>
    <w:autoRedefine/>
    <w:uiPriority w:val="39"/>
    <w:unhideWhenUsed/>
    <w:rsid w:val="00987015"/>
    <w:pPr>
      <w:spacing w:after="100"/>
    </w:pPr>
  </w:style>
  <w:style w:type="paragraph" w:styleId="TOC2">
    <w:name w:val="toc 2"/>
    <w:basedOn w:val="Normal"/>
    <w:next w:val="Normal"/>
    <w:autoRedefine/>
    <w:uiPriority w:val="39"/>
    <w:unhideWhenUsed/>
    <w:rsid w:val="009870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hs.sa.gov.au/about-us/our-department/organisation-structu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hs.sa.gov.au/work-with-us/graduat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hs.sa.gov.au/about-us/our-department/reconciliation/action-pla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losingthegap.gov.au/national-agreement/national-agreement-closing-the-ga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04C5A6B9D484FBA24479773A5BF1B" ma:contentTypeVersion="18" ma:contentTypeDescription="Create a new document." ma:contentTypeScope="" ma:versionID="5b79a9c842ed0b97d2e319e5e300c254">
  <xsd:schema xmlns:xsd="http://www.w3.org/2001/XMLSchema" xmlns:xs="http://www.w3.org/2001/XMLSchema" xmlns:p="http://schemas.microsoft.com/office/2006/metadata/properties" xmlns:ns2="3fe56fc3-cd0a-4ad0-8cf6-2a76cd6e5e44" xmlns:ns3="8bd8ae7f-8339-4e03-ae51-f5d970a73867" targetNamespace="http://schemas.microsoft.com/office/2006/metadata/properties" ma:root="true" ma:fieldsID="41332dea0ad3d141c435f29c9f735c9f" ns2:_="" ns3:_="">
    <xsd:import namespace="3fe56fc3-cd0a-4ad0-8cf6-2a76cd6e5e44"/>
    <xsd:import namespace="8bd8ae7f-8339-4e03-ae51-f5d970a738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56fc3-cd0a-4ad0-8cf6-2a76cd6e5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8ae7f-8339-4e03-ae51-f5d970a738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890a0f-d9e1-4a1c-b05d-082569cec2cf}" ma:internalName="TaxCatchAll" ma:showField="CatchAllData" ma:web="8bd8ae7f-8339-4e03-ae51-f5d970a73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e56fc3-cd0a-4ad0-8cf6-2a76cd6e5e44">
      <Terms xmlns="http://schemas.microsoft.com/office/infopath/2007/PartnerControls"/>
    </lcf76f155ced4ddcb4097134ff3c332f>
    <TaxCatchAll xmlns="8bd8ae7f-8339-4e03-ae51-f5d970a73867" xsi:nil="true"/>
  </documentManagement>
</p:properties>
</file>

<file path=customXml/itemProps1.xml><?xml version="1.0" encoding="utf-8"?>
<ds:datastoreItem xmlns:ds="http://schemas.openxmlformats.org/officeDocument/2006/customXml" ds:itemID="{9888A86D-FB3A-4E4F-99D4-986D9B501BA2}">
  <ds:schemaRefs>
    <ds:schemaRef ds:uri="http://schemas.microsoft.com/sharepoint/v3/contenttype/forms"/>
  </ds:schemaRefs>
</ds:datastoreItem>
</file>

<file path=customXml/itemProps2.xml><?xml version="1.0" encoding="utf-8"?>
<ds:datastoreItem xmlns:ds="http://schemas.openxmlformats.org/officeDocument/2006/customXml" ds:itemID="{D8C84B4A-CA06-425E-8F15-106E27968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56fc3-cd0a-4ad0-8cf6-2a76cd6e5e44"/>
    <ds:schemaRef ds:uri="8bd8ae7f-8339-4e03-ae51-f5d970a73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4C018-95A4-4B04-9FCA-2967ABDDBAAD}">
  <ds:schemaRefs>
    <ds:schemaRef ds:uri="http://schemas.microsoft.com/office/2006/metadata/properties"/>
    <ds:schemaRef ds:uri="http://schemas.microsoft.com/office/infopath/2007/PartnerControls"/>
    <ds:schemaRef ds:uri="3fe56fc3-cd0a-4ad0-8cf6-2a76cd6e5e44"/>
    <ds:schemaRef ds:uri="8bd8ae7f-8339-4e03-ae51-f5d970a73867"/>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32</TotalTime>
  <Pages>8</Pages>
  <Words>2120</Words>
  <Characters>12085</Characters>
  <Application>Microsoft Office Word</Application>
  <DocSecurity>0</DocSecurity>
  <Lines>100</Lines>
  <Paragraphs>28</Paragraphs>
  <ScaleCrop>false</ScaleCrop>
  <Company>Department of Human Services</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Kylie (DHS)</dc:creator>
  <cp:keywords/>
  <dc:description/>
  <cp:lastModifiedBy>Kerrigan, Kylie (DHS)</cp:lastModifiedBy>
  <cp:revision>10</cp:revision>
  <dcterms:created xsi:type="dcterms:W3CDTF">2025-03-04T03:49:00Z</dcterms:created>
  <dcterms:modified xsi:type="dcterms:W3CDTF">2025-03-04T04:58:00Z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2e0c773e,82c5c46,6209edd8</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2fdf06,3bd326c3,10b6e12e</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0x010100AB604C5A6B9D484FBA24479773A5BF1B</vt:lpwstr>
  </property>
  <property fmtid="{D5CDD505-2E9C-101B-9397-08002B2CF9AE}" pid="9" name="MediaServiceImageTags">
    <vt:lpwstr/>
  </property>
</Properties>
</file>