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80" w:rsidRDefault="005330DA" w:rsidP="00893080">
      <w:pPr>
        <w:pStyle w:val="Heading1"/>
      </w:pPr>
      <w:bookmarkStart w:id="0" w:name="_Toc492392568"/>
      <w:bookmarkStart w:id="1" w:name="_Toc468356239"/>
      <w:bookmarkStart w:id="2" w:name="_GoBack"/>
      <w:bookmarkEnd w:id="2"/>
      <w:r>
        <w:t>Youth Justice Programs</w:t>
      </w:r>
      <w:bookmarkEnd w:id="0"/>
    </w:p>
    <w:p w:rsidR="00255566" w:rsidRDefault="005330DA" w:rsidP="005330DA">
      <w:pPr>
        <w:pStyle w:val="Heading2"/>
        <w:spacing w:after="720"/>
      </w:pPr>
      <w:bookmarkStart w:id="3" w:name="_Toc492392569"/>
      <w:r>
        <w:t>Aboriginal Cultural Proficiency</w:t>
      </w:r>
      <w:bookmarkEnd w:id="3"/>
      <w:r w:rsidR="00A11CDF">
        <w:t xml:space="preserve"> Guide</w:t>
      </w:r>
    </w:p>
    <w:p w:rsidR="005330DA" w:rsidRDefault="005330DA" w:rsidP="00A11CDF">
      <w:pPr>
        <w:pStyle w:val="Heading3"/>
        <w:spacing w:after="120" w:line="240" w:lineRule="auto"/>
      </w:pPr>
      <w:bookmarkStart w:id="4" w:name="_Toc492392570"/>
      <w:bookmarkStart w:id="5" w:name="_Toc408232136"/>
      <w:bookmarkStart w:id="6" w:name="_Toc403653228"/>
      <w:bookmarkStart w:id="7" w:name="_Toc403653234"/>
      <w:bookmarkEnd w:id="1"/>
      <w:r>
        <w:t>Purpose</w:t>
      </w:r>
      <w:bookmarkEnd w:id="4"/>
      <w:r w:rsidR="00A11CDF">
        <w:t xml:space="preserve"> of the Guide</w:t>
      </w:r>
    </w:p>
    <w:p w:rsidR="005330DA" w:rsidRDefault="005330DA" w:rsidP="005330DA">
      <w:r>
        <w:t xml:space="preserve">Youth Justice has an obligation to ensure all programs, regardless of content, are responsive to the cultural needs of the Aboriginal population as part of an overall effort to address the overrepresentation of Aboriginal young people within the justice system. </w:t>
      </w:r>
    </w:p>
    <w:p w:rsidR="005330DA" w:rsidRDefault="005330DA" w:rsidP="005330DA">
      <w:r>
        <w:t xml:space="preserve">The </w:t>
      </w:r>
      <w:r w:rsidRPr="00E55B0A">
        <w:rPr>
          <w:i/>
        </w:rPr>
        <w:t>Youth Justice Administration Act 2016</w:t>
      </w:r>
      <w:r>
        <w:t>, came into operation on 1 December 2016, and recognises the over-representation of Aboriginal and Torres Strait Islander young people in the justice system. It aims to improve responses to their needs through specific provisions that ensure best practice approaches are taken during their supervision. The Aboriginal and Torres Strait Islander Youth Justice Principle builds on this by requiring that family and community, including relevant Aboriginal and Torres Strait Islander people or organisations, participate in case planning, assessment and decision making for Aboriginal young people.</w:t>
      </w:r>
    </w:p>
    <w:p w:rsidR="005330DA" w:rsidRDefault="005330DA" w:rsidP="005330DA">
      <w:r>
        <w:t>Recent needs analyses conducted by Youth Justice have shown the criminogenic needs of the Aboriginal and Torres Strait Islander population are varied, however, areas where Aboriginal young people appear to be at higher risk are related to substance abuse, history of abuse/trauma/neglect, high rates of Child Protection Notification history, poor literacy/numeracy and concerns related to poor life and independent-living skills.</w:t>
      </w:r>
    </w:p>
    <w:p w:rsidR="005330DA" w:rsidRDefault="005330DA" w:rsidP="005330DA">
      <w:r>
        <w:t xml:space="preserve">The Cultural Proficiency guide provides information to Youth Justice </w:t>
      </w:r>
      <w:proofErr w:type="gramStart"/>
      <w:r>
        <w:t>staff</w:t>
      </w:r>
      <w:proofErr w:type="gramEnd"/>
      <w:r>
        <w:t xml:space="preserve"> and other program providers regarding the cultural considerations while developing and/or facilitating programs with all young people under Youth Justice supervision. This is to ensure all program developers and facilitators strive to address the specific needs of the Aboriginal and Torres Strait Islander population.</w:t>
      </w:r>
    </w:p>
    <w:p w:rsidR="005330DA" w:rsidRPr="00B573FC" w:rsidRDefault="005330DA" w:rsidP="00A11CDF">
      <w:pPr>
        <w:pStyle w:val="Heading3"/>
      </w:pPr>
      <w:bookmarkStart w:id="8" w:name="_Toc480293698"/>
      <w:bookmarkStart w:id="9" w:name="_Toc492391001"/>
      <w:bookmarkStart w:id="10" w:name="_Toc492392571"/>
      <w:r w:rsidRPr="00B573FC">
        <w:t>Scope</w:t>
      </w:r>
      <w:bookmarkEnd w:id="8"/>
      <w:bookmarkEnd w:id="9"/>
      <w:bookmarkEnd w:id="10"/>
    </w:p>
    <w:p w:rsidR="005330DA" w:rsidRDefault="005330DA" w:rsidP="005330DA">
      <w:pPr>
        <w:rPr>
          <w:lang w:val="en-AU" w:eastAsia="en-AU"/>
        </w:rPr>
      </w:pPr>
      <w:r w:rsidRPr="00684982">
        <w:rPr>
          <w:lang w:val="en-AU" w:eastAsia="en-AU"/>
        </w:rPr>
        <w:t>This guide has been developed in accordance with the Youth Justice Aboriginal Cultural Inclusion Strategy 2015-2018 which was developed in partnership with the Youth Justice Aboriginal Advisory Committee (YJAAC) to address re-offending and the over-representation of Aboriginal children and you</w:t>
      </w:r>
      <w:r>
        <w:rPr>
          <w:lang w:val="en-AU" w:eastAsia="en-AU"/>
        </w:rPr>
        <w:t xml:space="preserve">ng people in the justice system. While the information contained herein also provides an outline to ensuring all programs are equally responsive to other </w:t>
      </w:r>
      <w:proofErr w:type="gramStart"/>
      <w:r>
        <w:rPr>
          <w:lang w:val="en-AU" w:eastAsia="en-AU"/>
        </w:rPr>
        <w:lastRenderedPageBreak/>
        <w:t>Culturally</w:t>
      </w:r>
      <w:proofErr w:type="gramEnd"/>
      <w:r>
        <w:rPr>
          <w:lang w:val="en-AU" w:eastAsia="en-AU"/>
        </w:rPr>
        <w:t xml:space="preserve"> and Linguistically Diverse (CALD) populations, the focus throughout will remain on Aboriginal Cultural Proficiency. </w:t>
      </w:r>
    </w:p>
    <w:p w:rsidR="005330DA" w:rsidRDefault="005330DA" w:rsidP="005330DA">
      <w:pPr>
        <w:rPr>
          <w:lang w:val="en-AU" w:eastAsia="en-AU"/>
        </w:rPr>
      </w:pPr>
      <w:r>
        <w:rPr>
          <w:lang w:val="en-AU" w:eastAsia="en-AU"/>
        </w:rPr>
        <w:t xml:space="preserve">The Youth Justice Programs Framework (2016-2019) acknowledges the need for ‘Cultural’ programs aimed exclusively towards Aboriginal young people with goals that include addressing cultural disconnection. However, this guide is focussed on ensuring all programs, regardless of content or targeted population, incorporate and address an inherent understanding of the specific needs of Aboriginal young people.  </w:t>
      </w:r>
    </w:p>
    <w:p w:rsidR="005330DA" w:rsidRPr="00BA7370" w:rsidRDefault="00A11CDF" w:rsidP="00A11CDF">
      <w:pPr>
        <w:pStyle w:val="Heading3"/>
      </w:pPr>
      <w:bookmarkStart w:id="11" w:name="_Toc436813580"/>
      <w:bookmarkStart w:id="12" w:name="_Toc480293699"/>
      <w:bookmarkStart w:id="13" w:name="_Toc492391002"/>
      <w:bookmarkStart w:id="14" w:name="_Toc492392572"/>
      <w:r>
        <w:t xml:space="preserve">Guide </w:t>
      </w:r>
      <w:r w:rsidR="005330DA" w:rsidRPr="00E55B0A">
        <w:t>Detail</w:t>
      </w:r>
      <w:bookmarkEnd w:id="11"/>
      <w:bookmarkEnd w:id="12"/>
      <w:bookmarkEnd w:id="13"/>
      <w:bookmarkEnd w:id="14"/>
    </w:p>
    <w:p w:rsidR="005330DA" w:rsidRDefault="005330DA" w:rsidP="005330DA">
      <w:pPr>
        <w:rPr>
          <w:lang w:val="en-AU" w:eastAsia="en-US"/>
        </w:rPr>
      </w:pPr>
      <w:r>
        <w:rPr>
          <w:lang w:val="en-AU" w:eastAsia="en-US"/>
        </w:rPr>
        <w:t>A</w:t>
      </w:r>
      <w:r w:rsidRPr="00AC1E9B">
        <w:rPr>
          <w:lang w:val="en-AU" w:eastAsia="en-US"/>
        </w:rPr>
        <w:t>ll program</w:t>
      </w:r>
      <w:r>
        <w:rPr>
          <w:lang w:val="en-AU" w:eastAsia="en-US"/>
        </w:rPr>
        <w:t xml:space="preserve"> developer</w:t>
      </w:r>
      <w:r w:rsidRPr="00AC1E9B">
        <w:rPr>
          <w:lang w:val="en-AU" w:eastAsia="en-US"/>
        </w:rPr>
        <w:t xml:space="preserve">s are required to </w:t>
      </w:r>
      <w:r>
        <w:rPr>
          <w:lang w:val="en-AU" w:eastAsia="en-US"/>
        </w:rPr>
        <w:t>demonstrate the efforts made to ensure their program(s) are culturally proficient</w:t>
      </w:r>
      <w:r w:rsidRPr="00AC1E9B">
        <w:rPr>
          <w:lang w:val="en-AU" w:eastAsia="en-US"/>
        </w:rPr>
        <w:t xml:space="preserve">. </w:t>
      </w:r>
    </w:p>
    <w:p w:rsidR="005330DA" w:rsidRPr="00A11CDF" w:rsidRDefault="005330DA" w:rsidP="00A11CDF">
      <w:pPr>
        <w:pStyle w:val="Heading3"/>
        <w:numPr>
          <w:ilvl w:val="0"/>
          <w:numId w:val="19"/>
        </w:numPr>
        <w:ind w:left="426" w:hanging="426"/>
        <w:rPr>
          <w:szCs w:val="32"/>
        </w:rPr>
      </w:pPr>
      <w:bookmarkStart w:id="15" w:name="_Toc480293700"/>
      <w:bookmarkStart w:id="16" w:name="_Toc492391003"/>
      <w:bookmarkStart w:id="17" w:name="_Toc492392573"/>
      <w:bookmarkStart w:id="18" w:name="_Toc473895082"/>
      <w:bookmarkStart w:id="19" w:name="_Toc444603011"/>
      <w:r w:rsidRPr="00A11CDF">
        <w:rPr>
          <w:bCs w:val="0"/>
          <w:szCs w:val="32"/>
        </w:rPr>
        <w:t>Cultural Proficiency in Practice</w:t>
      </w:r>
      <w:bookmarkEnd w:id="15"/>
      <w:bookmarkEnd w:id="16"/>
      <w:bookmarkEnd w:id="17"/>
      <w:r w:rsidRPr="00A11CDF">
        <w:rPr>
          <w:bCs w:val="0"/>
          <w:szCs w:val="32"/>
        </w:rPr>
        <w:t xml:space="preserve"> </w:t>
      </w:r>
      <w:bookmarkEnd w:id="18"/>
    </w:p>
    <w:p w:rsidR="005330DA" w:rsidRDefault="005330DA" w:rsidP="005330DA">
      <w:r>
        <w:t>For programs to be considered culturally proficient</w:t>
      </w:r>
      <w:r w:rsidRPr="00AC1E9B">
        <w:t>, research</w:t>
      </w:r>
      <w:r>
        <w:rPr>
          <w:rStyle w:val="FootnoteReference"/>
        </w:rPr>
        <w:footnoteReference w:id="1"/>
      </w:r>
      <w:r>
        <w:t xml:space="preserve"> </w:t>
      </w:r>
      <w:r w:rsidRPr="00AC1E9B">
        <w:t xml:space="preserve">suggests </w:t>
      </w:r>
      <w:r>
        <w:t xml:space="preserve">service-provision </w:t>
      </w:r>
      <w:r w:rsidRPr="00AC1E9B">
        <w:t xml:space="preserve">models must move away from simplistic notions of “cultural awareness” and “cultural competence” to embracing and </w:t>
      </w:r>
      <w:proofErr w:type="spellStart"/>
      <w:r w:rsidRPr="00AC1E9B">
        <w:t>utilising</w:t>
      </w:r>
      <w:proofErr w:type="spellEnd"/>
      <w:r w:rsidRPr="00AC1E9B">
        <w:t xml:space="preserve"> </w:t>
      </w:r>
      <w:r>
        <w:t>Aboriginal</w:t>
      </w:r>
      <w:r w:rsidRPr="00AC1E9B">
        <w:t xml:space="preserve"> thinking, views, and practices</w:t>
      </w:r>
      <w:r w:rsidRPr="00AC1E9B">
        <w:rPr>
          <w:vertAlign w:val="superscript"/>
          <w:lang w:val="en-AU" w:eastAsia="en-US"/>
        </w:rPr>
        <w:footnoteReference w:id="2"/>
      </w:r>
      <w:r w:rsidRPr="00AC1E9B">
        <w:t>. Through these means, programs will attain what is considered “cultural proficien</w:t>
      </w:r>
      <w:r>
        <w:t>cy”. The spectrum of cultural proficiency</w:t>
      </w:r>
      <w:r w:rsidRPr="00AC1E9B">
        <w:t xml:space="preserve"> is outlined in the table</w:t>
      </w:r>
      <w:r>
        <w:t xml:space="preserve"> below</w:t>
      </w:r>
      <w:r w:rsidRPr="00AC1E9B">
        <w:rPr>
          <w:vertAlign w:val="superscript"/>
          <w:lang w:val="en-AU" w:eastAsia="en-US"/>
        </w:rPr>
        <w:footnoteReference w:id="3"/>
      </w:r>
      <w:r w:rsidRPr="00AC1E9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11"/>
      </w:tblGrid>
      <w:tr w:rsidR="005330DA" w:rsidRPr="00AC1E9B" w:rsidTr="00FD0A9D">
        <w:trPr>
          <w:trHeight w:val="274"/>
        </w:trPr>
        <w:tc>
          <w:tcPr>
            <w:tcW w:w="0" w:type="auto"/>
            <w:shd w:val="clear" w:color="auto" w:fill="auto"/>
          </w:tcPr>
          <w:p w:rsidR="005330DA" w:rsidRPr="00A00593" w:rsidRDefault="005330DA" w:rsidP="00FD0A9D">
            <w:pPr>
              <w:rPr>
                <w:b/>
                <w:lang w:val="en-AU" w:eastAsia="en-AU"/>
              </w:rPr>
            </w:pPr>
            <w:r w:rsidRPr="00A00593">
              <w:rPr>
                <w:b/>
                <w:lang w:val="en-AU" w:eastAsia="en-AU"/>
              </w:rPr>
              <w:t xml:space="preserve">Cultural Destructiveness </w:t>
            </w:r>
          </w:p>
        </w:tc>
        <w:tc>
          <w:tcPr>
            <w:tcW w:w="0" w:type="auto"/>
            <w:shd w:val="clear" w:color="auto" w:fill="auto"/>
          </w:tcPr>
          <w:p w:rsidR="005330DA" w:rsidRPr="00AC1E9B" w:rsidRDefault="005330DA" w:rsidP="00FD0A9D">
            <w:pPr>
              <w:rPr>
                <w:lang w:val="en-AU" w:eastAsia="en-AU"/>
              </w:rPr>
            </w:pPr>
            <w:r w:rsidRPr="00AC1E9B">
              <w:rPr>
                <w:lang w:val="en-AU" w:eastAsia="en-AU"/>
              </w:rPr>
              <w:t>Intentional practices, attitudes and policies designed to subjugate individuals or cultures.</w:t>
            </w:r>
          </w:p>
        </w:tc>
      </w:tr>
      <w:tr w:rsidR="005330DA" w:rsidRPr="00AC1E9B" w:rsidTr="00FD0A9D">
        <w:trPr>
          <w:trHeight w:val="409"/>
        </w:trPr>
        <w:tc>
          <w:tcPr>
            <w:tcW w:w="0" w:type="auto"/>
            <w:shd w:val="clear" w:color="auto" w:fill="auto"/>
          </w:tcPr>
          <w:p w:rsidR="005330DA" w:rsidRPr="00A00593" w:rsidRDefault="005330DA" w:rsidP="00FD0A9D">
            <w:pPr>
              <w:rPr>
                <w:b/>
                <w:lang w:val="en-AU" w:eastAsia="en-AU"/>
              </w:rPr>
            </w:pPr>
            <w:r w:rsidRPr="00A00593">
              <w:rPr>
                <w:b/>
                <w:lang w:val="en-AU" w:eastAsia="en-AU"/>
              </w:rPr>
              <w:t xml:space="preserve">Cultural Incapacity </w:t>
            </w:r>
          </w:p>
        </w:tc>
        <w:tc>
          <w:tcPr>
            <w:tcW w:w="0" w:type="auto"/>
            <w:shd w:val="clear" w:color="auto" w:fill="auto"/>
          </w:tcPr>
          <w:p w:rsidR="005330DA" w:rsidRPr="00AC1E9B" w:rsidRDefault="005330DA" w:rsidP="00FD0A9D">
            <w:pPr>
              <w:rPr>
                <w:lang w:val="en-AU" w:eastAsia="en-AU"/>
              </w:rPr>
            </w:pPr>
            <w:r w:rsidRPr="00AC1E9B">
              <w:rPr>
                <w:lang w:val="en-AU" w:eastAsia="en-AU"/>
              </w:rPr>
              <w:t xml:space="preserve">Lack of capacity to help people from other cultures due to paternalistic and biased beliefs regarding those from another culture. </w:t>
            </w:r>
          </w:p>
        </w:tc>
      </w:tr>
      <w:tr w:rsidR="005330DA" w:rsidRPr="00AC1E9B" w:rsidTr="00FD0A9D">
        <w:trPr>
          <w:trHeight w:val="543"/>
        </w:trPr>
        <w:tc>
          <w:tcPr>
            <w:tcW w:w="0" w:type="auto"/>
            <w:shd w:val="clear" w:color="auto" w:fill="auto"/>
          </w:tcPr>
          <w:p w:rsidR="005330DA" w:rsidRPr="00A00593" w:rsidRDefault="005330DA" w:rsidP="00FD0A9D">
            <w:pPr>
              <w:rPr>
                <w:b/>
                <w:lang w:val="en-AU" w:eastAsia="en-AU"/>
              </w:rPr>
            </w:pPr>
            <w:r w:rsidRPr="00A00593">
              <w:rPr>
                <w:b/>
                <w:lang w:val="en-AU" w:eastAsia="en-AU"/>
              </w:rPr>
              <w:t xml:space="preserve">Cultural Blindness </w:t>
            </w:r>
          </w:p>
        </w:tc>
        <w:tc>
          <w:tcPr>
            <w:tcW w:w="0" w:type="auto"/>
            <w:shd w:val="clear" w:color="auto" w:fill="auto"/>
          </w:tcPr>
          <w:p w:rsidR="005330DA" w:rsidRPr="00AC1E9B" w:rsidRDefault="005330DA" w:rsidP="00FD0A9D">
            <w:pPr>
              <w:rPr>
                <w:lang w:val="en-AU" w:eastAsia="en-AU"/>
              </w:rPr>
            </w:pPr>
            <w:r w:rsidRPr="00AC1E9B">
              <w:rPr>
                <w:lang w:val="en-AU" w:eastAsia="en-AU"/>
              </w:rPr>
              <w:t xml:space="preserve">The belief that methods of helping of the dominant culture are acceptable regardless of cultural belief. This approach ignores strengths and promotes assimilation </w:t>
            </w:r>
          </w:p>
        </w:tc>
      </w:tr>
      <w:tr w:rsidR="005330DA" w:rsidRPr="00AC1E9B" w:rsidTr="00FD0A9D">
        <w:trPr>
          <w:trHeight w:val="676"/>
        </w:trPr>
        <w:tc>
          <w:tcPr>
            <w:tcW w:w="0" w:type="auto"/>
            <w:shd w:val="clear" w:color="auto" w:fill="auto"/>
          </w:tcPr>
          <w:p w:rsidR="005330DA" w:rsidRPr="00A00593" w:rsidRDefault="0043790A" w:rsidP="00FD0A9D">
            <w:pPr>
              <w:rPr>
                <w:b/>
                <w:lang w:val="en-AU" w:eastAsia="en-AU"/>
              </w:rPr>
            </w:pPr>
            <w:r>
              <w:rPr>
                <w:b/>
                <w:lang w:val="en-AU" w:eastAsia="en-AU"/>
              </w:rPr>
              <w:t xml:space="preserve">Cultural </w:t>
            </w:r>
            <w:r w:rsidR="005330DA" w:rsidRPr="00A00593">
              <w:rPr>
                <w:b/>
                <w:lang w:val="en-AU" w:eastAsia="en-AU"/>
              </w:rPr>
              <w:t xml:space="preserve">Pre-Competence </w:t>
            </w:r>
          </w:p>
        </w:tc>
        <w:tc>
          <w:tcPr>
            <w:tcW w:w="0" w:type="auto"/>
            <w:shd w:val="clear" w:color="auto" w:fill="auto"/>
          </w:tcPr>
          <w:p w:rsidR="005330DA" w:rsidRPr="00AC1E9B" w:rsidRDefault="005330DA" w:rsidP="00FD0A9D">
            <w:pPr>
              <w:rPr>
                <w:lang w:val="en-AU" w:eastAsia="en-AU"/>
              </w:rPr>
            </w:pPr>
            <w:r w:rsidRPr="00AC1E9B">
              <w:rPr>
                <w:lang w:val="en-AU" w:eastAsia="en-AU"/>
              </w:rPr>
              <w:t>The desire to deliver culturally competent services, including recruiting culturally diverse teams, however little consideration given to how cultural diversity interfaces with organisational objectives and often leads to tokenism.</w:t>
            </w:r>
          </w:p>
        </w:tc>
      </w:tr>
      <w:tr w:rsidR="005330DA" w:rsidRPr="00AC1E9B" w:rsidTr="00FD0A9D">
        <w:trPr>
          <w:trHeight w:val="543"/>
        </w:trPr>
        <w:tc>
          <w:tcPr>
            <w:tcW w:w="0" w:type="auto"/>
            <w:shd w:val="clear" w:color="auto" w:fill="auto"/>
          </w:tcPr>
          <w:p w:rsidR="005330DA" w:rsidRPr="00A00593" w:rsidRDefault="005330DA" w:rsidP="00FD0A9D">
            <w:pPr>
              <w:rPr>
                <w:b/>
                <w:lang w:val="en-AU" w:eastAsia="en-AU"/>
              </w:rPr>
            </w:pPr>
            <w:r w:rsidRPr="00A00593">
              <w:rPr>
                <w:b/>
                <w:lang w:val="en-AU" w:eastAsia="en-AU"/>
              </w:rPr>
              <w:lastRenderedPageBreak/>
              <w:t xml:space="preserve">Cultural Competence </w:t>
            </w:r>
          </w:p>
        </w:tc>
        <w:tc>
          <w:tcPr>
            <w:tcW w:w="0" w:type="auto"/>
            <w:shd w:val="clear" w:color="auto" w:fill="auto"/>
          </w:tcPr>
          <w:p w:rsidR="005330DA" w:rsidRPr="00AC1E9B" w:rsidRDefault="005330DA" w:rsidP="00FD0A9D">
            <w:pPr>
              <w:rPr>
                <w:lang w:val="en-AU" w:eastAsia="en-AU"/>
              </w:rPr>
            </w:pPr>
            <w:r w:rsidRPr="00AC1E9B">
              <w:rPr>
                <w:lang w:val="en-AU" w:eastAsia="en-AU"/>
              </w:rPr>
              <w:t xml:space="preserve">Acceptance and respect for different cultures, attention to dynamics of difference and adaption of services to best suit the needs of diverse populations. </w:t>
            </w:r>
          </w:p>
        </w:tc>
      </w:tr>
      <w:tr w:rsidR="005330DA" w:rsidRPr="00AC1E9B" w:rsidTr="00FD0A9D">
        <w:trPr>
          <w:trHeight w:val="543"/>
        </w:trPr>
        <w:tc>
          <w:tcPr>
            <w:tcW w:w="0" w:type="auto"/>
            <w:shd w:val="clear" w:color="auto" w:fill="auto"/>
          </w:tcPr>
          <w:p w:rsidR="005330DA" w:rsidRPr="00A00593" w:rsidRDefault="005330DA" w:rsidP="00FD0A9D">
            <w:pPr>
              <w:rPr>
                <w:b/>
                <w:lang w:val="en-AU" w:eastAsia="en-AU"/>
              </w:rPr>
            </w:pPr>
            <w:r w:rsidRPr="00A00593">
              <w:rPr>
                <w:b/>
                <w:lang w:val="en-AU" w:eastAsia="en-AU"/>
              </w:rPr>
              <w:t xml:space="preserve">Cultural Proficiency </w:t>
            </w:r>
          </w:p>
        </w:tc>
        <w:tc>
          <w:tcPr>
            <w:tcW w:w="0" w:type="auto"/>
            <w:shd w:val="clear" w:color="auto" w:fill="auto"/>
          </w:tcPr>
          <w:p w:rsidR="005330DA" w:rsidRPr="00AC1E9B" w:rsidRDefault="005330DA" w:rsidP="00FD0A9D">
            <w:pPr>
              <w:rPr>
                <w:lang w:val="en-AU" w:eastAsia="en-AU"/>
              </w:rPr>
            </w:pPr>
            <w:r w:rsidRPr="00AC1E9B">
              <w:rPr>
                <w:lang w:val="en-AU" w:eastAsia="en-AU"/>
              </w:rPr>
              <w:t xml:space="preserve">Holding culture in high esteem, seeking to add knowledge to cultural competence in practice through research, service design and improving relationships between cultures. </w:t>
            </w:r>
          </w:p>
        </w:tc>
      </w:tr>
    </w:tbl>
    <w:p w:rsidR="005330DA" w:rsidRPr="0089542D" w:rsidRDefault="005330DA" w:rsidP="00E750FA">
      <w:pPr>
        <w:pStyle w:val="Heading3"/>
        <w:numPr>
          <w:ilvl w:val="0"/>
          <w:numId w:val="19"/>
        </w:numPr>
        <w:spacing w:before="480"/>
        <w:ind w:left="425" w:hanging="425"/>
        <w:rPr>
          <w:bCs w:val="0"/>
          <w:szCs w:val="32"/>
        </w:rPr>
      </w:pPr>
      <w:bookmarkStart w:id="20" w:name="_Toc480293701"/>
      <w:bookmarkStart w:id="21" w:name="_Toc492391004"/>
      <w:bookmarkStart w:id="22" w:name="_Toc492392574"/>
      <w:r w:rsidRPr="0089542D">
        <w:rPr>
          <w:bCs w:val="0"/>
          <w:szCs w:val="32"/>
        </w:rPr>
        <w:t>Cultural Proficiency Criteria</w:t>
      </w:r>
      <w:bookmarkEnd w:id="20"/>
      <w:bookmarkEnd w:id="21"/>
      <w:bookmarkEnd w:id="22"/>
      <w:r w:rsidRPr="0089542D">
        <w:rPr>
          <w:bCs w:val="0"/>
          <w:szCs w:val="32"/>
        </w:rPr>
        <w:t xml:space="preserve"> </w:t>
      </w:r>
    </w:p>
    <w:p w:rsidR="005330DA" w:rsidRDefault="005330DA" w:rsidP="005330DA">
      <w:pPr>
        <w:pStyle w:val="Bullets1"/>
        <w:numPr>
          <w:ilvl w:val="0"/>
          <w:numId w:val="0"/>
        </w:numPr>
        <w:rPr>
          <w:lang w:val="en-AU" w:eastAsia="en-US"/>
        </w:rPr>
      </w:pPr>
      <w:r>
        <w:rPr>
          <w:lang w:val="en-AU" w:eastAsia="en-US"/>
        </w:rPr>
        <w:t>In order to be deemed Culturally Proficient, all programs, regardless of content and intended audience, are asked to demonstrate their efforts in meeting the following criteria:</w:t>
      </w:r>
    </w:p>
    <w:p w:rsidR="005330DA" w:rsidRDefault="005330DA" w:rsidP="005330DA">
      <w:pPr>
        <w:pStyle w:val="List1"/>
        <w:rPr>
          <w:lang w:val="en-AU" w:eastAsia="en-US"/>
        </w:rPr>
      </w:pPr>
      <w:r>
        <w:rPr>
          <w:lang w:val="en-AU" w:eastAsia="en-US"/>
        </w:rPr>
        <w:t>Provision of documented evidence demonstrating how the Aboriginal community, including Aboriginal young people, have played a key role in the program’s development</w:t>
      </w:r>
      <w:r>
        <w:rPr>
          <w:rStyle w:val="FootnoteReference"/>
          <w:lang w:val="en-AU" w:eastAsia="en-US"/>
        </w:rPr>
        <w:footnoteReference w:id="4"/>
      </w:r>
      <w:r>
        <w:rPr>
          <w:lang w:val="en-AU" w:eastAsia="en-US"/>
        </w:rPr>
        <w:t>; or</w:t>
      </w:r>
    </w:p>
    <w:p w:rsidR="005330DA" w:rsidRDefault="005330DA" w:rsidP="005330DA">
      <w:pPr>
        <w:pStyle w:val="List1"/>
        <w:rPr>
          <w:lang w:val="en-AU" w:eastAsia="en-US"/>
        </w:rPr>
      </w:pPr>
      <w:r>
        <w:rPr>
          <w:lang w:val="en-AU" w:eastAsia="en-US"/>
        </w:rPr>
        <w:t xml:space="preserve">If the program has been adapted from an existing program, the program provider can demonstrate how they have engaged in meaningful consultation with the Aboriginal community to ensure its cultural proficiency.  </w:t>
      </w:r>
    </w:p>
    <w:p w:rsidR="005330DA" w:rsidRDefault="005330DA" w:rsidP="005330DA">
      <w:pPr>
        <w:pStyle w:val="List1"/>
        <w:rPr>
          <w:lang w:val="en-AU" w:eastAsia="en-US"/>
        </w:rPr>
      </w:pPr>
      <w:r>
        <w:rPr>
          <w:lang w:val="en-AU" w:eastAsia="en-US"/>
        </w:rPr>
        <w:t>Program developers and facilitators demonstrate a sound knowledge of Aboriginal culture, the three key areas of Kinship, Dreaming and Environment and their impact on communicating and engaging with Aboriginal young people.</w:t>
      </w:r>
    </w:p>
    <w:p w:rsidR="005330DA" w:rsidRDefault="005330DA" w:rsidP="005330DA">
      <w:pPr>
        <w:pStyle w:val="List1"/>
        <w:rPr>
          <w:lang w:val="en-AU" w:eastAsia="en-US"/>
        </w:rPr>
      </w:pPr>
      <w:r>
        <w:rPr>
          <w:lang w:val="en-AU" w:eastAsia="en-US"/>
        </w:rPr>
        <w:t xml:space="preserve">Program developers demonstrate an understanding of the diversity of Aboriginal culture and that the consultation processes reflect this diversity; i.e. different Aboriginal communities are consulted to ensure a program is proficient at addressing the diverse needs of young people from rural, remote and urban areas.  </w:t>
      </w:r>
    </w:p>
    <w:p w:rsidR="005330DA" w:rsidRPr="00AB59E2" w:rsidRDefault="005330DA" w:rsidP="005330DA">
      <w:pPr>
        <w:pStyle w:val="List1"/>
        <w:rPr>
          <w:lang w:val="en-AU" w:eastAsia="en-US"/>
        </w:rPr>
      </w:pPr>
      <w:r w:rsidRPr="00FD2514">
        <w:rPr>
          <w:lang w:val="en-AU" w:eastAsia="en-US"/>
        </w:rPr>
        <w:t xml:space="preserve">The program addresses </w:t>
      </w:r>
      <w:r>
        <w:rPr>
          <w:lang w:val="en-AU" w:eastAsia="en-US"/>
        </w:rPr>
        <w:t xml:space="preserve">evidence-based </w:t>
      </w:r>
      <w:r w:rsidRPr="00FD2514">
        <w:rPr>
          <w:lang w:val="en-AU" w:eastAsia="en-US"/>
        </w:rPr>
        <w:t>issues of specific relevance or co</w:t>
      </w:r>
      <w:r>
        <w:rPr>
          <w:lang w:val="en-AU" w:eastAsia="en-US"/>
        </w:rPr>
        <w:t xml:space="preserve">ncern to Aboriginal communities; </w:t>
      </w:r>
      <w:r w:rsidRPr="00AB59E2">
        <w:rPr>
          <w:lang w:val="en-AU" w:eastAsia="en-US"/>
        </w:rPr>
        <w:t>e.g. research has found interventions which focus on strengthening an Aboriginal young person’s connection to family, community and culture to be beneficial in decreasing offending behaviour</w:t>
      </w:r>
      <w:r>
        <w:rPr>
          <w:rStyle w:val="FootnoteReference"/>
          <w:lang w:val="en-AU" w:eastAsia="en-US"/>
        </w:rPr>
        <w:footnoteReference w:id="5"/>
      </w:r>
      <w:r w:rsidRPr="00AB59E2">
        <w:rPr>
          <w:lang w:val="en-AU" w:eastAsia="en-US"/>
        </w:rPr>
        <w:t>.</w:t>
      </w:r>
    </w:p>
    <w:p w:rsidR="005330DA" w:rsidRPr="009754BA" w:rsidRDefault="005330DA" w:rsidP="005330DA">
      <w:pPr>
        <w:pStyle w:val="List1"/>
        <w:rPr>
          <w:lang w:val="en-AU" w:eastAsia="en-US"/>
        </w:rPr>
      </w:pPr>
      <w:r w:rsidRPr="009754BA">
        <w:rPr>
          <w:lang w:val="en-AU" w:eastAsia="en-US"/>
        </w:rPr>
        <w:t xml:space="preserve">Program materials </w:t>
      </w:r>
      <w:r>
        <w:rPr>
          <w:lang w:val="en-AU" w:eastAsia="en-US"/>
        </w:rPr>
        <w:t xml:space="preserve">including manuals, workbooks and presentation slides </w:t>
      </w:r>
      <w:r w:rsidRPr="009754BA">
        <w:rPr>
          <w:lang w:val="en-AU" w:eastAsia="en-US"/>
        </w:rPr>
        <w:t>are presented with images and information that</w:t>
      </w:r>
      <w:r>
        <w:rPr>
          <w:lang w:val="en-AU" w:eastAsia="en-US"/>
        </w:rPr>
        <w:t xml:space="preserve"> reflects the cultural diversity</w:t>
      </w:r>
      <w:r w:rsidRPr="009754BA">
        <w:rPr>
          <w:lang w:val="en-AU" w:eastAsia="en-US"/>
        </w:rPr>
        <w:t xml:space="preserve"> </w:t>
      </w:r>
      <w:r>
        <w:rPr>
          <w:lang w:val="en-AU" w:eastAsia="en-US"/>
        </w:rPr>
        <w:t>of the Youth Justice population</w:t>
      </w:r>
    </w:p>
    <w:p w:rsidR="005330DA" w:rsidRDefault="005330DA" w:rsidP="005330DA">
      <w:pPr>
        <w:pStyle w:val="List1"/>
        <w:rPr>
          <w:lang w:val="en-AU" w:eastAsia="en-US"/>
        </w:rPr>
      </w:pPr>
      <w:r>
        <w:rPr>
          <w:lang w:val="en-AU" w:eastAsia="en-US"/>
        </w:rPr>
        <w:t>Program content is facilitated in a manner that is responsive to the needs of Aboriginal young people.</w:t>
      </w:r>
    </w:p>
    <w:p w:rsidR="005330DA" w:rsidRPr="009438A6" w:rsidRDefault="005330DA" w:rsidP="005330DA">
      <w:pPr>
        <w:pStyle w:val="List1"/>
        <w:rPr>
          <w:lang w:val="en-AU" w:eastAsia="en-US"/>
        </w:rPr>
      </w:pPr>
      <w:r>
        <w:rPr>
          <w:lang w:val="en-AU" w:eastAsia="en-US"/>
        </w:rPr>
        <w:t xml:space="preserve">The program utilises mechanisms to measure outcomes for participants. </w:t>
      </w:r>
    </w:p>
    <w:p w:rsidR="005330DA" w:rsidRPr="00941C15" w:rsidRDefault="005330DA" w:rsidP="005330DA">
      <w:pPr>
        <w:spacing w:before="360"/>
        <w:rPr>
          <w:lang w:val="en-AU" w:eastAsia="en-US"/>
        </w:rPr>
      </w:pPr>
      <w:r>
        <w:rPr>
          <w:lang w:val="en-AU" w:eastAsia="en-US"/>
        </w:rPr>
        <w:lastRenderedPageBreak/>
        <w:t>In addition to the above essential criteria, there are desired aspects that are favourable for any Culturally Proficient program, but which may not be possible for all programs or providers. These desired elements are:</w:t>
      </w:r>
    </w:p>
    <w:p w:rsidR="005330DA" w:rsidRPr="00504E50" w:rsidRDefault="005330DA" w:rsidP="005330DA">
      <w:pPr>
        <w:pStyle w:val="Bullets1"/>
        <w:ind w:left="360" w:hanging="360"/>
        <w:rPr>
          <w:lang w:val="en-AU" w:eastAsia="en-US"/>
        </w:rPr>
      </w:pPr>
      <w:r>
        <w:rPr>
          <w:lang w:val="en-AU" w:eastAsia="en-US"/>
        </w:rPr>
        <w:t>The program utilises</w:t>
      </w:r>
      <w:r w:rsidRPr="00504E50">
        <w:rPr>
          <w:lang w:val="en-AU" w:eastAsia="en-US"/>
        </w:rPr>
        <w:t xml:space="preserve"> intergenerational, family and cultural supports (e.g. mentoring).</w:t>
      </w:r>
    </w:p>
    <w:p w:rsidR="005330DA" w:rsidRPr="00504E50" w:rsidRDefault="005330DA" w:rsidP="005330DA">
      <w:pPr>
        <w:pStyle w:val="Bullets1"/>
        <w:ind w:left="360" w:hanging="360"/>
        <w:rPr>
          <w:lang w:val="en-AU" w:eastAsia="en-US"/>
        </w:rPr>
      </w:pPr>
      <w:r>
        <w:rPr>
          <w:lang w:val="en-AU" w:eastAsia="en-US"/>
        </w:rPr>
        <w:t xml:space="preserve">The program </w:t>
      </w:r>
      <w:r w:rsidRPr="00504E50">
        <w:rPr>
          <w:lang w:val="en-AU" w:eastAsia="en-US"/>
        </w:rPr>
        <w:t>target</w:t>
      </w:r>
      <w:r>
        <w:rPr>
          <w:lang w:val="en-AU" w:eastAsia="en-US"/>
        </w:rPr>
        <w:t>s or includes</w:t>
      </w:r>
      <w:r w:rsidRPr="00504E50">
        <w:rPr>
          <w:lang w:val="en-AU" w:eastAsia="en-US"/>
        </w:rPr>
        <w:t xml:space="preserve"> the younger age ranges </w:t>
      </w:r>
      <w:r>
        <w:rPr>
          <w:lang w:val="en-AU" w:eastAsia="en-US"/>
        </w:rPr>
        <w:t xml:space="preserve">(10-14 years) </w:t>
      </w:r>
      <w:r w:rsidRPr="00504E50">
        <w:rPr>
          <w:lang w:val="en-AU" w:eastAsia="en-US"/>
        </w:rPr>
        <w:t>to maximise early interventions into youth offending.</w:t>
      </w:r>
    </w:p>
    <w:p w:rsidR="005330DA" w:rsidRDefault="005330DA" w:rsidP="005330DA">
      <w:pPr>
        <w:pStyle w:val="Bullets1"/>
        <w:ind w:left="360" w:hanging="360"/>
        <w:rPr>
          <w:lang w:val="en-AU" w:eastAsia="en-US"/>
        </w:rPr>
      </w:pPr>
      <w:r>
        <w:rPr>
          <w:lang w:val="en-AU" w:eastAsia="en-US"/>
        </w:rPr>
        <w:t xml:space="preserve">The program involves </w:t>
      </w:r>
      <w:r w:rsidRPr="00AC1E9B">
        <w:rPr>
          <w:lang w:val="en-AU" w:eastAsia="en-US"/>
        </w:rPr>
        <w:t>members of the Aboriginal community in facilitation of programs.</w:t>
      </w:r>
    </w:p>
    <w:p w:rsidR="005330DA" w:rsidRPr="0089542D" w:rsidRDefault="005330DA" w:rsidP="00E750FA">
      <w:pPr>
        <w:pStyle w:val="Heading3"/>
        <w:numPr>
          <w:ilvl w:val="0"/>
          <w:numId w:val="19"/>
        </w:numPr>
        <w:spacing w:before="480"/>
        <w:ind w:left="425" w:hanging="425"/>
        <w:rPr>
          <w:bCs w:val="0"/>
          <w:szCs w:val="32"/>
        </w:rPr>
      </w:pPr>
      <w:bookmarkStart w:id="23" w:name="_Toc480293702"/>
      <w:bookmarkStart w:id="24" w:name="_Toc492391005"/>
      <w:bookmarkStart w:id="25" w:name="_Toc492392575"/>
      <w:bookmarkEnd w:id="19"/>
      <w:r w:rsidRPr="0089542D">
        <w:rPr>
          <w:bCs w:val="0"/>
          <w:szCs w:val="32"/>
        </w:rPr>
        <w:t>Demonstrating cultural consultation to the Program Review Panel</w:t>
      </w:r>
      <w:bookmarkEnd w:id="23"/>
      <w:bookmarkEnd w:id="24"/>
      <w:bookmarkEnd w:id="25"/>
    </w:p>
    <w:p w:rsidR="005330DA" w:rsidRDefault="005330DA" w:rsidP="005330DA">
      <w:r>
        <w:t xml:space="preserve">Ideally, cultural proficiency should be considered from a program’s conception regardless of the program’s intended content. However, it is acknowledged this may not be applicable for programs already in use among different cohorts, or for those adapted from existing programs. </w:t>
      </w:r>
    </w:p>
    <w:p w:rsidR="005330DA" w:rsidRPr="00AC1E9B" w:rsidRDefault="005330DA" w:rsidP="005330DA">
      <w:r>
        <w:t xml:space="preserve">If submitting a program for endorsement by the Youth Justice Program Review Panel (PRP), </w:t>
      </w:r>
      <w:r w:rsidRPr="00AC1E9B">
        <w:rPr>
          <w:lang w:val="en-AU" w:eastAsia="en-US"/>
        </w:rPr>
        <w:t xml:space="preserve">program developers are </w:t>
      </w:r>
      <w:r>
        <w:rPr>
          <w:lang w:val="en-AU" w:eastAsia="en-US"/>
        </w:rPr>
        <w:t>asked</w:t>
      </w:r>
      <w:r w:rsidRPr="00AC1E9B">
        <w:rPr>
          <w:lang w:val="en-AU" w:eastAsia="en-US"/>
        </w:rPr>
        <w:t xml:space="preserve"> to </w:t>
      </w:r>
      <w:r>
        <w:rPr>
          <w:lang w:val="en-AU" w:eastAsia="en-US"/>
        </w:rPr>
        <w:t>demonstrate that consultation has occurred at a time when all program</w:t>
      </w:r>
      <w:r w:rsidRPr="00AC1E9B">
        <w:rPr>
          <w:lang w:val="en-AU" w:eastAsia="en-US"/>
        </w:rPr>
        <w:t xml:space="preserve"> manuals and resources</w:t>
      </w:r>
      <w:r>
        <w:rPr>
          <w:lang w:val="en-AU" w:eastAsia="en-US"/>
        </w:rPr>
        <w:t xml:space="preserve"> could be viewed to provide the necessary context for meaningful consultation</w:t>
      </w:r>
      <w:r w:rsidRPr="00AC1E9B">
        <w:rPr>
          <w:lang w:val="en-AU" w:eastAsia="en-US"/>
        </w:rPr>
        <w:t>.</w:t>
      </w:r>
      <w:r w:rsidRPr="005929A7">
        <w:t xml:space="preserve"> </w:t>
      </w:r>
    </w:p>
    <w:p w:rsidR="005330DA" w:rsidRPr="00AC1E9B" w:rsidRDefault="005330DA" w:rsidP="005330DA">
      <w:pPr>
        <w:rPr>
          <w:lang w:val="en-AU" w:eastAsia="en-US"/>
        </w:rPr>
      </w:pPr>
      <w:r>
        <w:rPr>
          <w:lang w:val="en-AU" w:eastAsia="en-US"/>
        </w:rPr>
        <w:t>It is an expectation that program p</w:t>
      </w:r>
      <w:r w:rsidRPr="00AC1E9B">
        <w:rPr>
          <w:lang w:val="en-AU" w:eastAsia="en-US"/>
        </w:rPr>
        <w:t xml:space="preserve">roviders </w:t>
      </w:r>
      <w:r>
        <w:rPr>
          <w:lang w:val="en-AU" w:eastAsia="en-US"/>
        </w:rPr>
        <w:t xml:space="preserve">work </w:t>
      </w:r>
      <w:r w:rsidRPr="00AC1E9B">
        <w:rPr>
          <w:lang w:val="en-AU" w:eastAsia="en-US"/>
        </w:rPr>
        <w:t xml:space="preserve">with cultural </w:t>
      </w:r>
      <w:r>
        <w:rPr>
          <w:lang w:val="en-AU" w:eastAsia="en-US"/>
        </w:rPr>
        <w:t xml:space="preserve">organisations, agencies and </w:t>
      </w:r>
      <w:r w:rsidRPr="00AC1E9B">
        <w:rPr>
          <w:lang w:val="en-AU" w:eastAsia="en-US"/>
        </w:rPr>
        <w:t>communit</w:t>
      </w:r>
      <w:r>
        <w:rPr>
          <w:lang w:val="en-AU" w:eastAsia="en-US"/>
        </w:rPr>
        <w:t>ies to develop/approve program materials that demonstrate a high level of cultural proficiency.</w:t>
      </w:r>
    </w:p>
    <w:p w:rsidR="005330DA" w:rsidRDefault="005330DA" w:rsidP="005330DA">
      <w:pPr>
        <w:rPr>
          <w:lang w:val="en-AU" w:eastAsia="en-US"/>
        </w:rPr>
      </w:pPr>
      <w:r>
        <w:rPr>
          <w:lang w:val="en-AU" w:eastAsia="en-US"/>
        </w:rPr>
        <w:t>The Senior Aboriginal Advisor, Youth Justice,</w:t>
      </w:r>
      <w:r w:rsidRPr="00AC1E9B">
        <w:rPr>
          <w:lang w:val="en-AU" w:eastAsia="en-US"/>
        </w:rPr>
        <w:t xml:space="preserve"> </w:t>
      </w:r>
      <w:r>
        <w:rPr>
          <w:lang w:val="en-AU" w:eastAsia="en-US"/>
        </w:rPr>
        <w:t>can</w:t>
      </w:r>
      <w:r w:rsidRPr="00AC1E9B">
        <w:rPr>
          <w:lang w:val="en-AU" w:eastAsia="en-US"/>
        </w:rPr>
        <w:t xml:space="preserve"> a</w:t>
      </w:r>
      <w:r>
        <w:rPr>
          <w:lang w:val="en-AU" w:eastAsia="en-US"/>
        </w:rPr>
        <w:t>ssist</w:t>
      </w:r>
      <w:r w:rsidRPr="00AC1E9B">
        <w:rPr>
          <w:lang w:val="en-AU" w:eastAsia="en-US"/>
        </w:rPr>
        <w:t xml:space="preserve"> program provider</w:t>
      </w:r>
      <w:r>
        <w:rPr>
          <w:lang w:val="en-AU" w:eastAsia="en-US"/>
        </w:rPr>
        <w:t>s</w:t>
      </w:r>
      <w:r w:rsidRPr="00AC1E9B">
        <w:rPr>
          <w:lang w:val="en-AU" w:eastAsia="en-US"/>
        </w:rPr>
        <w:t xml:space="preserve"> </w:t>
      </w:r>
      <w:r>
        <w:rPr>
          <w:lang w:val="en-AU" w:eastAsia="en-US"/>
        </w:rPr>
        <w:t>to identify suitable Aboriginal individuals and organisations with whom to consult or</w:t>
      </w:r>
      <w:r w:rsidRPr="00AC1E9B">
        <w:rPr>
          <w:lang w:val="en-AU" w:eastAsia="en-US"/>
        </w:rPr>
        <w:t xml:space="preserve"> recommendations regarding the process for ensuring cultural proficiency for their specific program. </w:t>
      </w:r>
      <w:r>
        <w:rPr>
          <w:lang w:val="en-AU" w:eastAsia="en-US"/>
        </w:rPr>
        <w:t xml:space="preserve">However, the Senior Aboriginal Advisor is a member of the PRP, therefore is not an appropriate resource to consult directly with program providers. </w:t>
      </w:r>
    </w:p>
    <w:p w:rsidR="005330DA" w:rsidRPr="00AC1E9B" w:rsidRDefault="005330DA" w:rsidP="005330DA">
      <w:pPr>
        <w:rPr>
          <w:lang w:val="en-AU" w:eastAsia="en-US"/>
        </w:rPr>
      </w:pPr>
      <w:r>
        <w:rPr>
          <w:lang w:val="en-AU" w:eastAsia="en-US"/>
        </w:rPr>
        <w:t>Consultation p</w:t>
      </w:r>
      <w:r w:rsidRPr="00AC1E9B">
        <w:rPr>
          <w:lang w:val="en-AU" w:eastAsia="en-US"/>
        </w:rPr>
        <w:t xml:space="preserve">rocesses are likely to vary for individual programs; therefore providers are expected to </w:t>
      </w:r>
      <w:r>
        <w:rPr>
          <w:lang w:val="en-AU" w:eastAsia="en-US"/>
        </w:rPr>
        <w:t>demonstrate cultural consultation for each individual program, regardless of whether the organisation may</w:t>
      </w:r>
      <w:r w:rsidRPr="00AC1E9B">
        <w:rPr>
          <w:lang w:val="en-AU" w:eastAsia="en-US"/>
        </w:rPr>
        <w:t xml:space="preserve"> have been through the </w:t>
      </w:r>
      <w:r>
        <w:rPr>
          <w:lang w:val="en-AU" w:eastAsia="en-US"/>
        </w:rPr>
        <w:t>PRP</w:t>
      </w:r>
      <w:r w:rsidRPr="00AC1E9B">
        <w:rPr>
          <w:lang w:val="en-AU" w:eastAsia="en-US"/>
        </w:rPr>
        <w:t xml:space="preserve"> process previously.</w:t>
      </w:r>
    </w:p>
    <w:p w:rsidR="005330DA" w:rsidRDefault="005330DA" w:rsidP="005330DA">
      <w:pPr>
        <w:spacing w:after="120"/>
        <w:rPr>
          <w:lang w:val="en-AU" w:eastAsia="en-US"/>
        </w:rPr>
      </w:pPr>
      <w:r w:rsidRPr="00AC1E9B">
        <w:rPr>
          <w:lang w:val="en-AU" w:eastAsia="en-US"/>
        </w:rPr>
        <w:t xml:space="preserve">Program submissions should only be sent for </w:t>
      </w:r>
      <w:r>
        <w:rPr>
          <w:lang w:val="en-AU" w:eastAsia="en-US"/>
        </w:rPr>
        <w:t>PRP</w:t>
      </w:r>
      <w:r w:rsidRPr="00AC1E9B">
        <w:rPr>
          <w:lang w:val="en-AU" w:eastAsia="en-US"/>
        </w:rPr>
        <w:t xml:space="preserve"> consideration at the completion of </w:t>
      </w:r>
      <w:r>
        <w:rPr>
          <w:lang w:val="en-AU" w:eastAsia="en-US"/>
        </w:rPr>
        <w:t>the cultural consultation process</w:t>
      </w:r>
      <w:r w:rsidRPr="00AC1E9B">
        <w:rPr>
          <w:lang w:val="en-AU" w:eastAsia="en-US"/>
        </w:rPr>
        <w:t xml:space="preserve">.   </w:t>
      </w:r>
    </w:p>
    <w:p w:rsidR="009A16CF" w:rsidRDefault="009A16CF">
      <w:pPr>
        <w:spacing w:before="0" w:after="0" w:line="240" w:lineRule="auto"/>
        <w:rPr>
          <w:b/>
          <w:color w:val="1F497D" w:themeColor="text2"/>
          <w:sz w:val="32"/>
          <w:szCs w:val="32"/>
        </w:rPr>
      </w:pPr>
      <w:bookmarkStart w:id="26" w:name="_Toc480293703"/>
      <w:bookmarkStart w:id="27" w:name="_Toc492391006"/>
      <w:bookmarkStart w:id="28" w:name="_Toc492392576"/>
      <w:r>
        <w:rPr>
          <w:bCs/>
          <w:szCs w:val="32"/>
        </w:rPr>
        <w:br w:type="page"/>
      </w:r>
    </w:p>
    <w:p w:rsidR="005330DA" w:rsidRPr="0089542D" w:rsidRDefault="005330DA" w:rsidP="00E750FA">
      <w:pPr>
        <w:pStyle w:val="Heading3"/>
        <w:numPr>
          <w:ilvl w:val="0"/>
          <w:numId w:val="19"/>
        </w:numPr>
        <w:spacing w:before="480"/>
        <w:ind w:left="425" w:hanging="425"/>
        <w:rPr>
          <w:bCs w:val="0"/>
          <w:szCs w:val="32"/>
        </w:rPr>
      </w:pPr>
      <w:r w:rsidRPr="0089542D">
        <w:rPr>
          <w:bCs w:val="0"/>
          <w:szCs w:val="32"/>
        </w:rPr>
        <w:lastRenderedPageBreak/>
        <w:t>Expectations for all new program submissions</w:t>
      </w:r>
      <w:bookmarkEnd w:id="26"/>
      <w:bookmarkEnd w:id="27"/>
      <w:bookmarkEnd w:id="28"/>
    </w:p>
    <w:p w:rsidR="005330DA" w:rsidRPr="00AC1E9B" w:rsidRDefault="005330DA" w:rsidP="005330DA">
      <w:pPr>
        <w:rPr>
          <w:b/>
          <w:lang w:val="en-AU" w:eastAsia="en-US"/>
        </w:rPr>
      </w:pPr>
      <w:r>
        <w:rPr>
          <w:lang w:val="en-AU" w:eastAsia="en-US"/>
        </w:rPr>
        <w:t xml:space="preserve">To </w:t>
      </w:r>
      <w:r w:rsidRPr="00A607F9">
        <w:rPr>
          <w:lang w:val="en-AU" w:eastAsia="en-US"/>
        </w:rPr>
        <w:t xml:space="preserve">be approved by the </w:t>
      </w:r>
      <w:r>
        <w:rPr>
          <w:lang w:val="en-AU" w:eastAsia="en-US"/>
        </w:rPr>
        <w:t>PRP all programs, must</w:t>
      </w:r>
      <w:r w:rsidRPr="00AC1E9B">
        <w:rPr>
          <w:lang w:val="en-AU" w:eastAsia="en-US"/>
        </w:rPr>
        <w:t xml:space="preserve"> demonstrate: </w:t>
      </w:r>
    </w:p>
    <w:p w:rsidR="005330DA" w:rsidRPr="00B573FC" w:rsidRDefault="005330DA" w:rsidP="00B573FC">
      <w:pPr>
        <w:pStyle w:val="Bullets1"/>
      </w:pPr>
      <w:r w:rsidRPr="00B573FC">
        <w:t xml:space="preserve">How the program meets cultural proficiency criteria. </w:t>
      </w:r>
    </w:p>
    <w:p w:rsidR="005330DA" w:rsidRPr="00B573FC" w:rsidRDefault="005330DA" w:rsidP="00B573FC">
      <w:pPr>
        <w:pStyle w:val="Bullets1"/>
      </w:pPr>
      <w:r w:rsidRPr="00B573FC">
        <w:t xml:space="preserve">The consultation processes undertaken with relevant cultural organisations, agencies and communities, including the people/organisations consulted with and any recommendations that were made. </w:t>
      </w:r>
    </w:p>
    <w:p w:rsidR="005330DA" w:rsidRPr="00B573FC" w:rsidRDefault="005330DA" w:rsidP="00B573FC">
      <w:pPr>
        <w:pStyle w:val="Bullets1"/>
      </w:pPr>
      <w:r w:rsidRPr="00B573FC">
        <w:t xml:space="preserve">How any recommendations the organisation received from the Aboriginal community were translated into program revisions. </w:t>
      </w:r>
    </w:p>
    <w:p w:rsidR="005330DA" w:rsidRDefault="005330DA" w:rsidP="005330DA">
      <w:pPr>
        <w:spacing w:before="360" w:after="120"/>
        <w:rPr>
          <w:lang w:val="en-AU" w:eastAsia="en-US"/>
        </w:rPr>
      </w:pPr>
      <w:r>
        <w:rPr>
          <w:lang w:val="en-AU" w:eastAsia="en-US"/>
        </w:rPr>
        <w:t>PRP endorsement of a program is based on a number of other criteria. For more information regarding the PRP endorsement criteria and process, refer to the Youth Justice Programs Framework (2016-2019), Fact Sheet C.</w:t>
      </w:r>
    </w:p>
    <w:p w:rsidR="005330DA" w:rsidRPr="00E750FA" w:rsidRDefault="005330DA" w:rsidP="00E750FA">
      <w:pPr>
        <w:pStyle w:val="Heading3"/>
        <w:numPr>
          <w:ilvl w:val="0"/>
          <w:numId w:val="19"/>
        </w:numPr>
        <w:spacing w:before="480"/>
        <w:ind w:left="425" w:hanging="425"/>
        <w:rPr>
          <w:bCs w:val="0"/>
          <w:szCs w:val="32"/>
        </w:rPr>
      </w:pPr>
      <w:bookmarkStart w:id="29" w:name="_Toc480293704"/>
      <w:bookmarkStart w:id="30" w:name="_Toc492391007"/>
      <w:bookmarkStart w:id="31" w:name="_Toc492392577"/>
      <w:bookmarkStart w:id="32" w:name="_Toc444603015"/>
      <w:r w:rsidRPr="00E750FA">
        <w:rPr>
          <w:bCs w:val="0"/>
          <w:szCs w:val="32"/>
        </w:rPr>
        <w:t>Expectations for existing programs</w:t>
      </w:r>
      <w:bookmarkEnd w:id="29"/>
      <w:bookmarkEnd w:id="30"/>
      <w:bookmarkEnd w:id="31"/>
    </w:p>
    <w:bookmarkEnd w:id="32"/>
    <w:p w:rsidR="005330DA" w:rsidRDefault="005330DA" w:rsidP="005330DA">
      <w:pPr>
        <w:rPr>
          <w:lang w:val="en-AU" w:eastAsia="en-US"/>
        </w:rPr>
      </w:pPr>
      <w:r>
        <w:rPr>
          <w:lang w:val="en-AU" w:eastAsia="en-US"/>
        </w:rPr>
        <w:t xml:space="preserve">Existing programs will be regularly reviewed to ensure they meet the standards set by Youth Justice. Youth Justice will ensure that all programs, regardless of their content, are facilitated in a cultural proficient manner. This will include Youth Justice </w:t>
      </w:r>
      <w:proofErr w:type="gramStart"/>
      <w:r>
        <w:rPr>
          <w:lang w:val="en-AU" w:eastAsia="en-US"/>
        </w:rPr>
        <w:t>stakeholders</w:t>
      </w:r>
      <w:proofErr w:type="gramEnd"/>
      <w:r>
        <w:rPr>
          <w:lang w:val="en-AU" w:eastAsia="en-US"/>
        </w:rPr>
        <w:t xml:space="preserve"> to schedule attendance in occasional program sessions to act as observers. </w:t>
      </w:r>
    </w:p>
    <w:p w:rsidR="005330DA" w:rsidRDefault="005330DA" w:rsidP="005330DA">
      <w:pPr>
        <w:spacing w:after="120"/>
        <w:rPr>
          <w:lang w:val="en-AU" w:eastAsia="en-US"/>
        </w:rPr>
      </w:pPr>
      <w:r w:rsidRPr="00AC1E9B">
        <w:rPr>
          <w:lang w:val="en-AU" w:eastAsia="en-US"/>
        </w:rPr>
        <w:t xml:space="preserve">Program providers and facilitators will participate in all Youth Justice </w:t>
      </w:r>
      <w:proofErr w:type="gramStart"/>
      <w:r w:rsidRPr="00AC1E9B">
        <w:rPr>
          <w:lang w:val="en-AU" w:eastAsia="en-US"/>
        </w:rPr>
        <w:t>program</w:t>
      </w:r>
      <w:proofErr w:type="gramEnd"/>
      <w:r w:rsidRPr="00AC1E9B">
        <w:rPr>
          <w:lang w:val="en-AU" w:eastAsia="en-US"/>
        </w:rPr>
        <w:t xml:space="preserve"> feedback, evaluation and review processes as outlined in the Youth Justice Programs Framework 2016-2019. </w:t>
      </w:r>
      <w:r>
        <w:rPr>
          <w:lang w:val="en-AU" w:eastAsia="en-US"/>
        </w:rPr>
        <w:t xml:space="preserve">This includes the implementation of any recommendations made by the PRP to current programming. </w:t>
      </w:r>
    </w:p>
    <w:p w:rsidR="00B573FC" w:rsidRDefault="00B573FC" w:rsidP="005330DA">
      <w:pPr>
        <w:spacing w:after="120"/>
        <w:rPr>
          <w:lang w:val="en-AU" w:eastAsia="en-US"/>
        </w:rPr>
      </w:pPr>
    </w:p>
    <w:p w:rsidR="00B573FC" w:rsidRDefault="00B573FC" w:rsidP="005330DA">
      <w:pPr>
        <w:spacing w:after="120"/>
        <w:rPr>
          <w:lang w:val="en-AU" w:eastAsia="en-US"/>
        </w:rPr>
      </w:pPr>
    </w:p>
    <w:p w:rsidR="00B573FC" w:rsidRDefault="00B573FC" w:rsidP="005330DA">
      <w:pPr>
        <w:spacing w:after="120"/>
        <w:rPr>
          <w:lang w:val="en-AU" w:eastAsia="en-US"/>
        </w:rPr>
      </w:pPr>
    </w:p>
    <w:bookmarkEnd w:id="5"/>
    <w:bookmarkEnd w:id="6"/>
    <w:bookmarkEnd w:id="7"/>
    <w:p w:rsidR="001B3AB3" w:rsidRPr="00FB5B6F" w:rsidRDefault="001B3AB3" w:rsidP="001B3AB3">
      <w:pPr>
        <w:spacing w:before="0" w:after="0"/>
        <w:rPr>
          <w:b/>
          <w:color w:val="17365D" w:themeColor="text2" w:themeShade="BF"/>
          <w:sz w:val="20"/>
        </w:rPr>
      </w:pPr>
      <w:r>
        <w:rPr>
          <w:b/>
          <w:color w:val="17365D" w:themeColor="text2" w:themeShade="BF"/>
          <w:sz w:val="20"/>
        </w:rPr>
        <w:t>For</w:t>
      </w:r>
      <w:r w:rsidRPr="00FB5B6F">
        <w:rPr>
          <w:b/>
          <w:color w:val="17365D" w:themeColor="text2" w:themeShade="BF"/>
          <w:sz w:val="20"/>
        </w:rPr>
        <w:t xml:space="preserve"> more information</w:t>
      </w:r>
      <w:r>
        <w:rPr>
          <w:b/>
          <w:color w:val="17365D" w:themeColor="text2" w:themeShade="BF"/>
          <w:sz w:val="20"/>
        </w:rPr>
        <w:t xml:space="preserve"> </w:t>
      </w:r>
      <w:r w:rsidRPr="00FB5B6F">
        <w:rPr>
          <w:b/>
          <w:color w:val="17365D" w:themeColor="text2" w:themeShade="BF"/>
          <w:sz w:val="20"/>
        </w:rPr>
        <w:t>contact:</w:t>
      </w:r>
    </w:p>
    <w:p w:rsidR="001B3AB3" w:rsidRPr="00FB5B6F" w:rsidRDefault="001B3AB3" w:rsidP="001B3AB3">
      <w:pPr>
        <w:spacing w:after="0"/>
        <w:rPr>
          <w:sz w:val="20"/>
        </w:rPr>
      </w:pPr>
      <w:r w:rsidRPr="00FB5B6F">
        <w:rPr>
          <w:sz w:val="20"/>
        </w:rPr>
        <w:t>Luke Francis</w:t>
      </w:r>
    </w:p>
    <w:p w:rsidR="001B3AB3" w:rsidRDefault="001B3AB3" w:rsidP="001B3AB3">
      <w:pPr>
        <w:spacing w:before="0" w:after="0"/>
        <w:rPr>
          <w:sz w:val="20"/>
        </w:rPr>
      </w:pPr>
      <w:r>
        <w:rPr>
          <w:sz w:val="20"/>
        </w:rPr>
        <w:t>Principal Programs Officer, Y</w:t>
      </w:r>
      <w:r w:rsidRPr="00FB5B6F">
        <w:rPr>
          <w:sz w:val="20"/>
        </w:rPr>
        <w:t xml:space="preserve">outh Justice </w:t>
      </w:r>
    </w:p>
    <w:p w:rsidR="001B3AB3" w:rsidRDefault="001B3AB3" w:rsidP="001B3AB3">
      <w:pPr>
        <w:spacing w:before="0" w:after="0"/>
        <w:rPr>
          <w:sz w:val="20"/>
        </w:rPr>
      </w:pPr>
      <w:proofErr w:type="spellStart"/>
      <w:r>
        <w:rPr>
          <w:sz w:val="20"/>
        </w:rPr>
        <w:t>Ph</w:t>
      </w:r>
      <w:proofErr w:type="spellEnd"/>
      <w:r>
        <w:rPr>
          <w:sz w:val="20"/>
        </w:rPr>
        <w:t xml:space="preserve">: (08) 8267 7105 </w:t>
      </w:r>
    </w:p>
    <w:p w:rsidR="001B3AB3" w:rsidRDefault="001B3AB3" w:rsidP="001B3AB3">
      <w:pPr>
        <w:spacing w:before="0" w:after="0"/>
        <w:rPr>
          <w:sz w:val="20"/>
        </w:rPr>
      </w:pPr>
      <w:proofErr w:type="spellStart"/>
      <w:r>
        <w:rPr>
          <w:sz w:val="20"/>
        </w:rPr>
        <w:t>Em</w:t>
      </w:r>
      <w:proofErr w:type="spellEnd"/>
      <w:r>
        <w:rPr>
          <w:sz w:val="20"/>
        </w:rPr>
        <w:t xml:space="preserve">: </w:t>
      </w:r>
      <w:hyperlink r:id="rId14" w:history="1">
        <w:r w:rsidRPr="00523736">
          <w:rPr>
            <w:rStyle w:val="Hyperlink"/>
            <w:sz w:val="20"/>
          </w:rPr>
          <w:t>luke.francis@sa.gov.au</w:t>
        </w:r>
      </w:hyperlink>
    </w:p>
    <w:p w:rsidR="00B573FC" w:rsidRPr="00B573FC" w:rsidRDefault="00B573FC" w:rsidP="001B3AB3">
      <w:pPr>
        <w:spacing w:after="120"/>
        <w:rPr>
          <w:color w:val="auto"/>
          <w:szCs w:val="24"/>
        </w:rPr>
      </w:pPr>
    </w:p>
    <w:sectPr w:rsidR="00B573FC" w:rsidRPr="00B573FC" w:rsidSect="006B62D2">
      <w:headerReference w:type="even" r:id="rId15"/>
      <w:footerReference w:type="even" r:id="rId16"/>
      <w:footerReference w:type="default" r:id="rId17"/>
      <w:headerReference w:type="first" r:id="rId18"/>
      <w:footerReference w:type="first" r:id="rId19"/>
      <w:type w:val="continuous"/>
      <w:pgSz w:w="11907" w:h="16839" w:code="9"/>
      <w:pgMar w:top="1393" w:right="720" w:bottom="720" w:left="1134" w:header="570" w:footer="385" w:gutter="0"/>
      <w:cols w:space="10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3F" w:rsidRPr="00AD6768" w:rsidRDefault="004E493F" w:rsidP="00AD6768">
      <w:r>
        <w:separator/>
      </w:r>
    </w:p>
    <w:p w:rsidR="004E493F" w:rsidRDefault="004E493F"/>
  </w:endnote>
  <w:endnote w:type="continuationSeparator" w:id="0">
    <w:p w:rsidR="004E493F" w:rsidRPr="00AD6768" w:rsidRDefault="004E493F" w:rsidP="00AD6768">
      <w:r>
        <w:continuationSeparator/>
      </w:r>
    </w:p>
    <w:p w:rsidR="004E493F" w:rsidRDefault="004E4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9B" w:rsidRDefault="00F70B9B"/>
  <w:p w:rsidR="00B0325C" w:rsidRDefault="00B032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7D" w:rsidRDefault="00D2543B" w:rsidP="00D2543B">
    <w:pPr>
      <w:pStyle w:val="Footer"/>
    </w:pPr>
    <w:r>
      <w:rPr>
        <w:noProof/>
        <w:lang w:val="en-AU" w:eastAsia="en-AU"/>
      </w:rPr>
      <w:drawing>
        <wp:anchor distT="0" distB="0" distL="114300" distR="114300" simplePos="0" relativeHeight="251668480" behindDoc="1" locked="0" layoutInCell="1" allowOverlap="1" wp14:anchorId="3EA1A234" wp14:editId="59D872F7">
          <wp:simplePos x="0" y="0"/>
          <wp:positionH relativeFrom="page">
            <wp:posOffset>0</wp:posOffset>
          </wp:positionH>
          <wp:positionV relativeFrom="paragraph">
            <wp:posOffset>-12700</wp:posOffset>
          </wp:positionV>
          <wp:extent cx="7566830" cy="12071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_landscape ATSI.jpg"/>
                  <pic:cNvPicPr/>
                </pic:nvPicPr>
                <pic:blipFill>
                  <a:blip r:embed="rId1">
                    <a:extLst>
                      <a:ext uri="{28A0092B-C50C-407E-A947-70E740481C1C}">
                        <a14:useLocalDpi xmlns:a14="http://schemas.microsoft.com/office/drawing/2010/main" val="0"/>
                      </a:ext>
                    </a:extLst>
                  </a:blip>
                  <a:stretch>
                    <a:fillRect/>
                  </a:stretch>
                </pic:blipFill>
                <pic:spPr>
                  <a:xfrm>
                    <a:off x="0" y="0"/>
                    <a:ext cx="7566830" cy="1207135"/>
                  </a:xfrm>
                  <a:prstGeom prst="rect">
                    <a:avLst/>
                  </a:prstGeom>
                </pic:spPr>
              </pic:pic>
            </a:graphicData>
          </a:graphic>
          <wp14:sizeRelH relativeFrom="page">
            <wp14:pctWidth>0</wp14:pctWidth>
          </wp14:sizeRelH>
          <wp14:sizeRelV relativeFrom="page">
            <wp14:pctHeight>0</wp14:pctHeight>
          </wp14:sizeRelV>
        </wp:anchor>
      </w:drawing>
    </w:r>
    <w:r>
      <w:br/>
    </w:r>
  </w:p>
  <w:p w:rsidR="00D2543B" w:rsidRPr="00D2543B" w:rsidRDefault="00D2543B" w:rsidP="00D2543B">
    <w:pPr>
      <w:pStyle w:val="Footer"/>
    </w:pPr>
  </w:p>
  <w:p w:rsidR="00A3111D" w:rsidRPr="009251AC" w:rsidRDefault="009251AC" w:rsidP="00D2543B">
    <w:pPr>
      <w:pStyle w:val="Footer"/>
    </w:pPr>
    <w:r w:rsidRPr="009251AC">
      <w:fldChar w:fldCharType="begin"/>
    </w:r>
    <w:r w:rsidRPr="009251AC">
      <w:instrText xml:space="preserve"> PAGE   \* MERGEFORMAT </w:instrText>
    </w:r>
    <w:r w:rsidRPr="009251AC">
      <w:fldChar w:fldCharType="separate"/>
    </w:r>
    <w:r w:rsidR="00F30DE7">
      <w:rPr>
        <w:noProof/>
      </w:rPr>
      <w:t>5</w:t>
    </w:r>
    <w:r w:rsidRPr="009251A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66" w:rsidRDefault="00D80BB7" w:rsidP="00255566">
    <w:pPr>
      <w:rPr>
        <w:noProof/>
        <w:lang w:val="en-AU"/>
      </w:rPr>
    </w:pPr>
    <w:r>
      <w:rPr>
        <w:noProof/>
        <w:lang w:val="en-AU" w:eastAsia="en-AU"/>
      </w:rPr>
      <w:drawing>
        <wp:anchor distT="0" distB="0" distL="114300" distR="114300" simplePos="0" relativeHeight="251674624" behindDoc="0" locked="0" layoutInCell="1" allowOverlap="1" wp14:anchorId="276ACD8C" wp14:editId="475C43CF">
          <wp:simplePos x="0" y="0"/>
          <wp:positionH relativeFrom="margin">
            <wp:posOffset>-843915</wp:posOffset>
          </wp:positionH>
          <wp:positionV relativeFrom="paragraph">
            <wp:posOffset>231775</wp:posOffset>
          </wp:positionV>
          <wp:extent cx="7662653" cy="120965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 footer 2.jpg"/>
                  <pic:cNvPicPr/>
                </pic:nvPicPr>
                <pic:blipFill>
                  <a:blip r:embed="rId1">
                    <a:extLst>
                      <a:ext uri="{28A0092B-C50C-407E-A947-70E740481C1C}">
                        <a14:useLocalDpi xmlns:a14="http://schemas.microsoft.com/office/drawing/2010/main" val="0"/>
                      </a:ext>
                    </a:extLst>
                  </a:blip>
                  <a:stretch>
                    <a:fillRect/>
                  </a:stretch>
                </pic:blipFill>
                <pic:spPr>
                  <a:xfrm>
                    <a:off x="0" y="0"/>
                    <a:ext cx="7662653" cy="1209652"/>
                  </a:xfrm>
                  <a:prstGeom prst="rect">
                    <a:avLst/>
                  </a:prstGeom>
                </pic:spPr>
              </pic:pic>
            </a:graphicData>
          </a:graphic>
          <wp14:sizeRelH relativeFrom="page">
            <wp14:pctWidth>0</wp14:pctWidth>
          </wp14:sizeRelH>
          <wp14:sizeRelV relativeFrom="page">
            <wp14:pctHeight>0</wp14:pctHeight>
          </wp14:sizeRelV>
        </wp:anchor>
      </w:drawing>
    </w:r>
  </w:p>
  <w:p w:rsidR="00A3111D" w:rsidRDefault="005330DA" w:rsidP="00255566">
    <w:pPr>
      <w:tabs>
        <w:tab w:val="left" w:pos="720"/>
        <w:tab w:val="left" w:pos="990"/>
        <w:tab w:val="left" w:pos="3015"/>
      </w:tabs>
      <w:rPr>
        <w:noProof/>
        <w:lang w:val="en-AU"/>
      </w:rPr>
    </w:pPr>
    <w:r>
      <w:rPr>
        <w:noProof/>
        <w:lang w:val="en-AU" w:eastAsia="en-AU"/>
      </w:rPr>
      <mc:AlternateContent>
        <mc:Choice Requires="wps">
          <w:drawing>
            <wp:anchor distT="0" distB="0" distL="114300" distR="114300" simplePos="0" relativeHeight="251675648" behindDoc="0" locked="0" layoutInCell="1" allowOverlap="1" wp14:anchorId="39A22EC5" wp14:editId="1DE91BDA">
              <wp:simplePos x="0" y="0"/>
              <wp:positionH relativeFrom="column">
                <wp:posOffset>5290185</wp:posOffset>
              </wp:positionH>
              <wp:positionV relativeFrom="paragraph">
                <wp:posOffset>278130</wp:posOffset>
              </wp:positionV>
              <wp:extent cx="952500" cy="381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525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0DA" w:rsidRPr="005330DA" w:rsidRDefault="005330DA" w:rsidP="005330DA">
                          <w:pPr>
                            <w:jc w:val="center"/>
                            <w:rPr>
                              <w:b/>
                              <w:color w:val="F2F2F2" w:themeColor="background1" w:themeShade="F2"/>
                            </w:rPr>
                          </w:pPr>
                          <w:r w:rsidRPr="005330DA">
                            <w:rPr>
                              <w:b/>
                              <w:color w:val="F2F2F2" w:themeColor="background1" w:themeShade="F2"/>
                            </w:rPr>
                            <w:t>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16.55pt;margin-top:21.9pt;width:7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" filled="f" stroked="f" strokeweight=".5pt">
              <v:textbox>
                <w:txbxContent>
                  <w:p w:rsidR="005330DA" w:rsidRPr="005330DA" w:rsidRDefault="005330DA" w:rsidP="005330DA">
                    <w:pPr>
                      <w:jc w:val="center"/>
                      <w:rPr>
                        <w:b/>
                        <w:color w:val="F2F2F2" w:themeColor="background1" w:themeShade="F2"/>
                      </w:rPr>
                    </w:pPr>
                    <w:r w:rsidRPr="005330DA">
                      <w:rPr>
                        <w:b/>
                        <w:color w:val="F2F2F2" w:themeColor="background1" w:themeShade="F2"/>
                      </w:rPr>
                      <w:t>Public</w:t>
                    </w:r>
                  </w:p>
                </w:txbxContent>
              </v:textbox>
            </v:shape>
          </w:pict>
        </mc:Fallback>
      </mc:AlternateContent>
    </w:r>
    <w:r w:rsidR="00255566">
      <w:rPr>
        <w:noProof/>
        <w:lang w:val="en-AU"/>
      </w:rPr>
      <w:tab/>
    </w:r>
  </w:p>
  <w:p w:rsidR="00255566" w:rsidRPr="00D2543B" w:rsidRDefault="00255566" w:rsidP="00255566">
    <w:pPr>
      <w:tabs>
        <w:tab w:val="left" w:pos="720"/>
        <w:tab w:val="left" w:pos="3015"/>
      </w:tabs>
      <w:rPr>
        <w:noProof/>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3F" w:rsidRPr="00E750FA" w:rsidRDefault="004E493F" w:rsidP="00E750FA">
      <w:pPr>
        <w:pStyle w:val="Footer"/>
      </w:pPr>
    </w:p>
  </w:footnote>
  <w:footnote w:type="continuationSeparator" w:id="0">
    <w:p w:rsidR="004E493F" w:rsidRPr="00AD6768" w:rsidRDefault="004E493F" w:rsidP="00AD6768">
      <w:r>
        <w:continuationSeparator/>
      </w:r>
    </w:p>
    <w:p w:rsidR="004E493F" w:rsidRDefault="004E493F"/>
  </w:footnote>
  <w:footnote w:id="1">
    <w:p w:rsidR="005330DA" w:rsidRPr="001B5B54" w:rsidRDefault="005330DA" w:rsidP="005330DA">
      <w:pPr>
        <w:pStyle w:val="FootnoteText"/>
        <w:rPr>
          <w:lang w:val="en-AU"/>
        </w:rPr>
      </w:pPr>
      <w:r>
        <w:rPr>
          <w:rStyle w:val="FootnoteReference"/>
        </w:rPr>
        <w:footnoteRef/>
      </w:r>
      <w:r>
        <w:t xml:space="preserve"> </w:t>
      </w:r>
      <w:r>
        <w:rPr>
          <w:lang w:val="en-AU"/>
        </w:rPr>
        <w:t xml:space="preserve">Walker, R., Shultz, C. &amp; </w:t>
      </w:r>
      <w:proofErr w:type="spellStart"/>
      <w:r>
        <w:rPr>
          <w:lang w:val="en-AU"/>
        </w:rPr>
        <w:t>Shonn</w:t>
      </w:r>
      <w:proofErr w:type="spellEnd"/>
      <w:r>
        <w:rPr>
          <w:lang w:val="en-AU"/>
        </w:rPr>
        <w:t>, C “</w:t>
      </w:r>
      <w:r w:rsidRPr="001B5B54">
        <w:rPr>
          <w:lang w:val="en-AU"/>
        </w:rPr>
        <w:t>Cultural Competence – Transforming Policy,</w:t>
      </w:r>
    </w:p>
    <w:p w:rsidR="005330DA" w:rsidRPr="0069475B" w:rsidRDefault="005330DA" w:rsidP="005330DA">
      <w:pPr>
        <w:pStyle w:val="FootnoteText"/>
        <w:rPr>
          <w:lang w:val="en-AU"/>
        </w:rPr>
      </w:pPr>
      <w:proofErr w:type="gramStart"/>
      <w:r w:rsidRPr="001B5B54">
        <w:rPr>
          <w:lang w:val="en-AU"/>
        </w:rPr>
        <w:t>Services, Programs and Practice</w:t>
      </w:r>
      <w:r>
        <w:rPr>
          <w:lang w:val="en-AU"/>
        </w:rPr>
        <w:t>”.</w:t>
      </w:r>
      <w:proofErr w:type="gramEnd"/>
      <w:r>
        <w:rPr>
          <w:lang w:val="en-AU"/>
        </w:rPr>
        <w:t xml:space="preserve"> Accessed online at </w:t>
      </w:r>
      <w:hyperlink r:id="rId1" w:history="1">
        <w:r w:rsidRPr="00F469A8">
          <w:rPr>
            <w:rStyle w:val="Hyperlink"/>
            <w:lang w:val="en-AU"/>
          </w:rPr>
          <w:t>http://aboriginal.telethonkids.org.au/media/673981/wt-part-3-chapt-12-final.pdf</w:t>
        </w:r>
      </w:hyperlink>
      <w:r>
        <w:rPr>
          <w:lang w:val="en-AU"/>
        </w:rPr>
        <w:t xml:space="preserve"> </w:t>
      </w:r>
    </w:p>
  </w:footnote>
  <w:footnote w:id="2">
    <w:p w:rsidR="005330DA" w:rsidRPr="00E4504D" w:rsidRDefault="005330DA" w:rsidP="005330DA">
      <w:pPr>
        <w:pStyle w:val="FootnoteText"/>
        <w:rPr>
          <w:lang w:val="en-AU"/>
        </w:rPr>
      </w:pPr>
      <w:r>
        <w:rPr>
          <w:rStyle w:val="FootnoteReference"/>
        </w:rPr>
        <w:footnoteRef/>
      </w:r>
      <w:r>
        <w:t xml:space="preserve"> </w:t>
      </w:r>
      <w:proofErr w:type="gramStart"/>
      <w:r w:rsidRPr="00E4504D">
        <w:t>Gray, M., &amp; Hetherington, T. (2007).</w:t>
      </w:r>
      <w:proofErr w:type="gramEnd"/>
      <w:r w:rsidRPr="00E4504D">
        <w:t xml:space="preserve"> </w:t>
      </w:r>
      <w:proofErr w:type="gramStart"/>
      <w:r>
        <w:t>“</w:t>
      </w:r>
      <w:r w:rsidRPr="00E4504D">
        <w:t>Hearing Indigenous Voices in Mainstream Social Work</w:t>
      </w:r>
      <w:r>
        <w:t>”</w:t>
      </w:r>
      <w:r w:rsidRPr="00E4504D">
        <w:t>.</w:t>
      </w:r>
      <w:proofErr w:type="gramEnd"/>
      <w:r w:rsidRPr="00E4504D">
        <w:t xml:space="preserve"> </w:t>
      </w:r>
      <w:r w:rsidRPr="00E4504D">
        <w:rPr>
          <w:i/>
        </w:rPr>
        <w:t>Families in Society: The Journal of Contemporary Social Services</w:t>
      </w:r>
      <w:r w:rsidRPr="00E4504D">
        <w:t>, 55-66.</w:t>
      </w:r>
    </w:p>
  </w:footnote>
  <w:footnote w:id="3">
    <w:p w:rsidR="005330DA" w:rsidRPr="00C52B88" w:rsidRDefault="005330DA" w:rsidP="005330DA">
      <w:pPr>
        <w:pStyle w:val="FootnoteText"/>
        <w:rPr>
          <w:lang w:val="en-AU"/>
        </w:rPr>
      </w:pPr>
      <w:r>
        <w:rPr>
          <w:rStyle w:val="FootnoteReference"/>
        </w:rPr>
        <w:footnoteRef/>
      </w:r>
      <w:r>
        <w:t xml:space="preserve"> </w:t>
      </w:r>
      <w:proofErr w:type="gramStart"/>
      <w:r w:rsidRPr="00782EA3">
        <w:rPr>
          <w:lang w:val="en-AU"/>
        </w:rPr>
        <w:t>Jackson, A. L., &amp; Waters, S. E. (2015).</w:t>
      </w:r>
      <w:proofErr w:type="gramEnd"/>
      <w:r w:rsidRPr="00782EA3">
        <w:rPr>
          <w:lang w:val="en-AU"/>
        </w:rPr>
        <w:t xml:space="preserve"> </w:t>
      </w:r>
      <w:proofErr w:type="gramStart"/>
      <w:r>
        <w:rPr>
          <w:lang w:val="en-AU"/>
        </w:rPr>
        <w:t>“</w:t>
      </w:r>
      <w:r w:rsidRPr="00782EA3">
        <w:rPr>
          <w:lang w:val="en-AU"/>
        </w:rPr>
        <w:t>Taking Time – Framework: A trauma-informed framework for supporting people with intellectual disability</w:t>
      </w:r>
      <w:r>
        <w:rPr>
          <w:lang w:val="en-AU"/>
        </w:rPr>
        <w:t>”</w:t>
      </w:r>
      <w:r w:rsidRPr="00782EA3">
        <w:rPr>
          <w:lang w:val="en-AU"/>
        </w:rPr>
        <w:t>.</w:t>
      </w:r>
      <w:proofErr w:type="gramEnd"/>
      <w:r w:rsidRPr="00782EA3">
        <w:rPr>
          <w:lang w:val="en-AU"/>
        </w:rPr>
        <w:t xml:space="preserve"> Melbourne, Australia:</w:t>
      </w:r>
      <w:r>
        <w:rPr>
          <w:lang w:val="en-AU"/>
        </w:rPr>
        <w:t xml:space="preserve"> </w:t>
      </w:r>
      <w:r w:rsidRPr="00782EA3">
        <w:rPr>
          <w:lang w:val="en-AU"/>
        </w:rPr>
        <w:t>Berry Street.</w:t>
      </w:r>
      <w:r>
        <w:rPr>
          <w:lang w:val="en-AU"/>
        </w:rPr>
        <w:t>pg.15</w:t>
      </w:r>
    </w:p>
  </w:footnote>
  <w:footnote w:id="4">
    <w:p w:rsidR="005330DA" w:rsidRPr="00C442FA" w:rsidRDefault="005330DA" w:rsidP="005330DA">
      <w:pPr>
        <w:pStyle w:val="FootnoteText"/>
        <w:rPr>
          <w:lang w:val="en-AU"/>
        </w:rPr>
      </w:pPr>
      <w:r>
        <w:rPr>
          <w:rStyle w:val="FootnoteReference"/>
        </w:rPr>
        <w:footnoteRef/>
      </w:r>
      <w:r>
        <w:t xml:space="preserve"> </w:t>
      </w:r>
      <w:r w:rsidRPr="00B0172F">
        <w:t xml:space="preserve">Barbour, B. (2010). </w:t>
      </w:r>
      <w:proofErr w:type="gramStart"/>
      <w:r w:rsidRPr="00B0172F">
        <w:t xml:space="preserve">Inquiry into service provision to the Bourke and </w:t>
      </w:r>
      <w:proofErr w:type="spellStart"/>
      <w:r w:rsidRPr="00B0172F">
        <w:t>Brewarrina</w:t>
      </w:r>
      <w:proofErr w:type="spellEnd"/>
      <w:r w:rsidRPr="00B0172F">
        <w:t xml:space="preserve"> communities.</w:t>
      </w:r>
      <w:proofErr w:type="gramEnd"/>
      <w:r w:rsidRPr="00B0172F">
        <w:t xml:space="preserve"> </w:t>
      </w:r>
      <w:proofErr w:type="gramStart"/>
      <w:r w:rsidRPr="00B0172F">
        <w:t>NSW Ombudsman.</w:t>
      </w:r>
      <w:proofErr w:type="gramEnd"/>
      <w:r w:rsidRPr="00B0172F">
        <w:t xml:space="preserve"> </w:t>
      </w:r>
      <w:proofErr w:type="spellStart"/>
      <w:r w:rsidRPr="00B0172F">
        <w:t>Sydney,NSW</w:t>
      </w:r>
      <w:proofErr w:type="spellEnd"/>
      <w:r w:rsidRPr="00B0172F">
        <w:t xml:space="preserve"> Ombudsman ISBN: 978-1-921131-63-9</w:t>
      </w:r>
    </w:p>
  </w:footnote>
  <w:footnote w:id="5">
    <w:p w:rsidR="005330DA" w:rsidRPr="001C65CB" w:rsidRDefault="005330DA" w:rsidP="005330DA">
      <w:pPr>
        <w:pStyle w:val="FootnoteText"/>
        <w:rPr>
          <w:lang w:val="en-AU"/>
        </w:rPr>
      </w:pPr>
      <w:r>
        <w:rPr>
          <w:rStyle w:val="FootnoteReference"/>
        </w:rPr>
        <w:footnoteRef/>
      </w:r>
      <w:r>
        <w:t xml:space="preserve"> </w:t>
      </w:r>
      <w:r w:rsidRPr="00B0172F">
        <w:t xml:space="preserve">Barbour, B. (2010). </w:t>
      </w:r>
      <w:proofErr w:type="gramStart"/>
      <w:r w:rsidRPr="00B0172F">
        <w:t xml:space="preserve">Inquiry into service provision to the Bourke and </w:t>
      </w:r>
      <w:proofErr w:type="spellStart"/>
      <w:r w:rsidRPr="00B0172F">
        <w:t>Brewarrina</w:t>
      </w:r>
      <w:proofErr w:type="spellEnd"/>
      <w:r w:rsidRPr="00B0172F">
        <w:t xml:space="preserve"> communities.</w:t>
      </w:r>
      <w:proofErr w:type="gramEnd"/>
      <w:r w:rsidRPr="00B0172F">
        <w:t xml:space="preserve"> </w:t>
      </w:r>
      <w:proofErr w:type="gramStart"/>
      <w:r w:rsidRPr="00B0172F">
        <w:t>NSW Ombudsman.</w:t>
      </w:r>
      <w:proofErr w:type="gramEnd"/>
      <w:r w:rsidRPr="00B0172F">
        <w:t xml:space="preserve"> </w:t>
      </w:r>
      <w:proofErr w:type="spellStart"/>
      <w:r w:rsidRPr="00B0172F">
        <w:t>Sydney,NSW</w:t>
      </w:r>
      <w:proofErr w:type="spellEnd"/>
      <w:r w:rsidRPr="00B0172F">
        <w:t xml:space="preserve"> Ombudsman ISBN: 978-1-921131-63-9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9B" w:rsidRDefault="00F70B9B">
    <w:pPr>
      <w:pStyle w:val="Header"/>
    </w:pPr>
  </w:p>
  <w:p w:rsidR="00B0325C" w:rsidRDefault="00B032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83" w:rsidRPr="00616383" w:rsidRDefault="000F7401" w:rsidP="00616383">
    <w:r>
      <w:rPr>
        <w:noProof/>
        <w:lang w:val="en-AU" w:eastAsia="en-AU"/>
      </w:rPr>
      <w:drawing>
        <wp:anchor distT="0" distB="0" distL="114300" distR="114300" simplePos="0" relativeHeight="251673600" behindDoc="1" locked="0" layoutInCell="1" allowOverlap="1" wp14:anchorId="0A0CD6EC" wp14:editId="299DD7C1">
          <wp:simplePos x="0" y="0"/>
          <wp:positionH relativeFrom="page">
            <wp:posOffset>28575</wp:posOffset>
          </wp:positionH>
          <wp:positionV relativeFrom="paragraph">
            <wp:posOffset>-333376</wp:posOffset>
          </wp:positionV>
          <wp:extent cx="7531100" cy="23717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 cover 2.jpg"/>
                  <pic:cNvPicPr/>
                </pic:nvPicPr>
                <pic:blipFill>
                  <a:blip r:embed="rId1">
                    <a:extLst>
                      <a:ext uri="{28A0092B-C50C-407E-A947-70E740481C1C}">
                        <a14:useLocalDpi xmlns:a14="http://schemas.microsoft.com/office/drawing/2010/main" val="0"/>
                      </a:ext>
                    </a:extLst>
                  </a:blip>
                  <a:stretch>
                    <a:fillRect/>
                  </a:stretch>
                </pic:blipFill>
                <pic:spPr>
                  <a:xfrm>
                    <a:off x="0" y="0"/>
                    <a:ext cx="7531419" cy="2371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9">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BA60FB"/>
    <w:multiLevelType w:val="hybridMultilevel"/>
    <w:tmpl w:val="97365BBE"/>
    <w:lvl w:ilvl="0" w:tplc="0C09000F">
      <w:start w:val="1"/>
      <w:numFmt w:val="decimal"/>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4">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845B0A"/>
    <w:multiLevelType w:val="multilevel"/>
    <w:tmpl w:val="B15CC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4"/>
  </w:num>
  <w:num w:numId="4">
    <w:abstractNumId w:val="15"/>
  </w:num>
  <w:num w:numId="5">
    <w:abstractNumId w:val="18"/>
  </w:num>
  <w:num w:numId="6">
    <w:abstractNumId w:val="12"/>
  </w:num>
  <w:num w:numId="7">
    <w:abstractNumId w:val="5"/>
  </w:num>
  <w:num w:numId="8">
    <w:abstractNumId w:val="9"/>
  </w:num>
  <w:num w:numId="9">
    <w:abstractNumId w:val="1"/>
  </w:num>
  <w:num w:numId="10">
    <w:abstractNumId w:val="11"/>
  </w:num>
  <w:num w:numId="11">
    <w:abstractNumId w:val="10"/>
  </w:num>
  <w:num w:numId="12">
    <w:abstractNumId w:val="3"/>
  </w:num>
  <w:num w:numId="13">
    <w:abstractNumId w:val="8"/>
  </w:num>
  <w:num w:numId="14">
    <w:abstractNumId w:val="6"/>
  </w:num>
  <w:num w:numId="15">
    <w:abstractNumId w:val="0"/>
  </w:num>
  <w:num w:numId="16">
    <w:abstractNumId w:val="2"/>
  </w:num>
  <w:num w:numId="17">
    <w:abstractNumId w:val="16"/>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01"/>
    <w:rsid w:val="00026E3B"/>
    <w:rsid w:val="00036286"/>
    <w:rsid w:val="00044060"/>
    <w:rsid w:val="000504AA"/>
    <w:rsid w:val="00053948"/>
    <w:rsid w:val="000723D1"/>
    <w:rsid w:val="00080691"/>
    <w:rsid w:val="00084B5C"/>
    <w:rsid w:val="00095EF4"/>
    <w:rsid w:val="000A0948"/>
    <w:rsid w:val="000A5E4D"/>
    <w:rsid w:val="000A6152"/>
    <w:rsid w:val="000A6D5B"/>
    <w:rsid w:val="000E2C73"/>
    <w:rsid w:val="000E58C4"/>
    <w:rsid w:val="000E76EF"/>
    <w:rsid w:val="000E79D8"/>
    <w:rsid w:val="000F7401"/>
    <w:rsid w:val="001001DE"/>
    <w:rsid w:val="001002C1"/>
    <w:rsid w:val="00101B94"/>
    <w:rsid w:val="00101F80"/>
    <w:rsid w:val="001047B4"/>
    <w:rsid w:val="00122744"/>
    <w:rsid w:val="00122B4D"/>
    <w:rsid w:val="00126A15"/>
    <w:rsid w:val="001315C5"/>
    <w:rsid w:val="00132FCF"/>
    <w:rsid w:val="00144F1A"/>
    <w:rsid w:val="0014530C"/>
    <w:rsid w:val="0015228C"/>
    <w:rsid w:val="001537E4"/>
    <w:rsid w:val="001658D5"/>
    <w:rsid w:val="00174460"/>
    <w:rsid w:val="00174D36"/>
    <w:rsid w:val="00180B6B"/>
    <w:rsid w:val="00181BF5"/>
    <w:rsid w:val="001826EB"/>
    <w:rsid w:val="001921E1"/>
    <w:rsid w:val="00194923"/>
    <w:rsid w:val="00195719"/>
    <w:rsid w:val="001A0C3B"/>
    <w:rsid w:val="001A1AAB"/>
    <w:rsid w:val="001A7532"/>
    <w:rsid w:val="001B3AB3"/>
    <w:rsid w:val="001B697A"/>
    <w:rsid w:val="001C6B48"/>
    <w:rsid w:val="001F15ED"/>
    <w:rsid w:val="002118DA"/>
    <w:rsid w:val="00213AE0"/>
    <w:rsid w:val="00216595"/>
    <w:rsid w:val="00222373"/>
    <w:rsid w:val="00223905"/>
    <w:rsid w:val="0023296A"/>
    <w:rsid w:val="00235DE5"/>
    <w:rsid w:val="00236EA9"/>
    <w:rsid w:val="00255566"/>
    <w:rsid w:val="00260F66"/>
    <w:rsid w:val="00261F0D"/>
    <w:rsid w:val="0026621E"/>
    <w:rsid w:val="00266855"/>
    <w:rsid w:val="00290EAA"/>
    <w:rsid w:val="0029709F"/>
    <w:rsid w:val="002A70E8"/>
    <w:rsid w:val="002B4E6C"/>
    <w:rsid w:val="002B5595"/>
    <w:rsid w:val="002C08AE"/>
    <w:rsid w:val="002C22E7"/>
    <w:rsid w:val="002D19F5"/>
    <w:rsid w:val="002D3C0F"/>
    <w:rsid w:val="002D491A"/>
    <w:rsid w:val="002D7679"/>
    <w:rsid w:val="002E1A0F"/>
    <w:rsid w:val="002E2089"/>
    <w:rsid w:val="002E3E79"/>
    <w:rsid w:val="002E735D"/>
    <w:rsid w:val="003112AB"/>
    <w:rsid w:val="00312FCA"/>
    <w:rsid w:val="00321CB1"/>
    <w:rsid w:val="003231D9"/>
    <w:rsid w:val="00323C7E"/>
    <w:rsid w:val="003244C7"/>
    <w:rsid w:val="0032470A"/>
    <w:rsid w:val="0033267A"/>
    <w:rsid w:val="00355223"/>
    <w:rsid w:val="00363C21"/>
    <w:rsid w:val="003717E5"/>
    <w:rsid w:val="00375A06"/>
    <w:rsid w:val="00387E88"/>
    <w:rsid w:val="00394EAB"/>
    <w:rsid w:val="003A0818"/>
    <w:rsid w:val="003A5F87"/>
    <w:rsid w:val="003C53D2"/>
    <w:rsid w:val="003F08DC"/>
    <w:rsid w:val="003F1AD4"/>
    <w:rsid w:val="003F780C"/>
    <w:rsid w:val="00400E4D"/>
    <w:rsid w:val="00405A6C"/>
    <w:rsid w:val="00410857"/>
    <w:rsid w:val="004219A3"/>
    <w:rsid w:val="00423B3E"/>
    <w:rsid w:val="00430070"/>
    <w:rsid w:val="00431D17"/>
    <w:rsid w:val="004321F7"/>
    <w:rsid w:val="0043395E"/>
    <w:rsid w:val="00434343"/>
    <w:rsid w:val="004370AA"/>
    <w:rsid w:val="0043790A"/>
    <w:rsid w:val="00437DA6"/>
    <w:rsid w:val="00440E79"/>
    <w:rsid w:val="0044711C"/>
    <w:rsid w:val="004473C7"/>
    <w:rsid w:val="00451CF9"/>
    <w:rsid w:val="00453793"/>
    <w:rsid w:val="00454F65"/>
    <w:rsid w:val="00456DF8"/>
    <w:rsid w:val="00477E17"/>
    <w:rsid w:val="00486A7A"/>
    <w:rsid w:val="00494F94"/>
    <w:rsid w:val="00497511"/>
    <w:rsid w:val="004A62BA"/>
    <w:rsid w:val="004A79F6"/>
    <w:rsid w:val="004B37B1"/>
    <w:rsid w:val="004D69F2"/>
    <w:rsid w:val="004E3738"/>
    <w:rsid w:val="004E493F"/>
    <w:rsid w:val="004F17CB"/>
    <w:rsid w:val="004F44FC"/>
    <w:rsid w:val="004F5F10"/>
    <w:rsid w:val="005039CB"/>
    <w:rsid w:val="005077DB"/>
    <w:rsid w:val="00511E93"/>
    <w:rsid w:val="0051223E"/>
    <w:rsid w:val="00517DB4"/>
    <w:rsid w:val="005246E9"/>
    <w:rsid w:val="005330DA"/>
    <w:rsid w:val="00533A6E"/>
    <w:rsid w:val="00534A96"/>
    <w:rsid w:val="00545115"/>
    <w:rsid w:val="00545B91"/>
    <w:rsid w:val="0054794C"/>
    <w:rsid w:val="00551948"/>
    <w:rsid w:val="00557C3B"/>
    <w:rsid w:val="00582F7A"/>
    <w:rsid w:val="005861E2"/>
    <w:rsid w:val="005A4C22"/>
    <w:rsid w:val="005B26BA"/>
    <w:rsid w:val="005B5268"/>
    <w:rsid w:val="005C06EE"/>
    <w:rsid w:val="005C4FB9"/>
    <w:rsid w:val="005C7CFB"/>
    <w:rsid w:val="005C7E7F"/>
    <w:rsid w:val="005D1A52"/>
    <w:rsid w:val="005D5A51"/>
    <w:rsid w:val="005D7B3F"/>
    <w:rsid w:val="005E0565"/>
    <w:rsid w:val="005E12B5"/>
    <w:rsid w:val="005E26D8"/>
    <w:rsid w:val="005E2DAE"/>
    <w:rsid w:val="005E67FF"/>
    <w:rsid w:val="005F2BD0"/>
    <w:rsid w:val="005F4308"/>
    <w:rsid w:val="0060580B"/>
    <w:rsid w:val="00605FAA"/>
    <w:rsid w:val="00611894"/>
    <w:rsid w:val="006125C5"/>
    <w:rsid w:val="00614077"/>
    <w:rsid w:val="006151B9"/>
    <w:rsid w:val="00616383"/>
    <w:rsid w:val="00624EC8"/>
    <w:rsid w:val="00630D45"/>
    <w:rsid w:val="006319E0"/>
    <w:rsid w:val="00676D5C"/>
    <w:rsid w:val="00685108"/>
    <w:rsid w:val="00687A6B"/>
    <w:rsid w:val="00693ABB"/>
    <w:rsid w:val="006A0638"/>
    <w:rsid w:val="006B2F24"/>
    <w:rsid w:val="006B3A69"/>
    <w:rsid w:val="006B5488"/>
    <w:rsid w:val="006B62D2"/>
    <w:rsid w:val="006B7F3A"/>
    <w:rsid w:val="006C0A47"/>
    <w:rsid w:val="006C239A"/>
    <w:rsid w:val="006C3AEF"/>
    <w:rsid w:val="006C5F11"/>
    <w:rsid w:val="006C77E2"/>
    <w:rsid w:val="006D29C6"/>
    <w:rsid w:val="006E14EC"/>
    <w:rsid w:val="006E6E2B"/>
    <w:rsid w:val="006F49BD"/>
    <w:rsid w:val="006F643B"/>
    <w:rsid w:val="0070146D"/>
    <w:rsid w:val="007041C1"/>
    <w:rsid w:val="007150C3"/>
    <w:rsid w:val="00721217"/>
    <w:rsid w:val="007300AA"/>
    <w:rsid w:val="007318C6"/>
    <w:rsid w:val="0073546D"/>
    <w:rsid w:val="0074306B"/>
    <w:rsid w:val="00754EE4"/>
    <w:rsid w:val="00755DE5"/>
    <w:rsid w:val="007611E4"/>
    <w:rsid w:val="00764D8A"/>
    <w:rsid w:val="00765349"/>
    <w:rsid w:val="00775AA2"/>
    <w:rsid w:val="00782B23"/>
    <w:rsid w:val="00793B52"/>
    <w:rsid w:val="0079470E"/>
    <w:rsid w:val="00794A41"/>
    <w:rsid w:val="007A14CC"/>
    <w:rsid w:val="007A2503"/>
    <w:rsid w:val="007A5634"/>
    <w:rsid w:val="007B3EAB"/>
    <w:rsid w:val="007B7033"/>
    <w:rsid w:val="007C0862"/>
    <w:rsid w:val="007D2623"/>
    <w:rsid w:val="007D4DBF"/>
    <w:rsid w:val="007E1B8F"/>
    <w:rsid w:val="007E6E14"/>
    <w:rsid w:val="007E7D1E"/>
    <w:rsid w:val="007F261A"/>
    <w:rsid w:val="007F683E"/>
    <w:rsid w:val="00803900"/>
    <w:rsid w:val="00803B07"/>
    <w:rsid w:val="008066F7"/>
    <w:rsid w:val="008073F6"/>
    <w:rsid w:val="00811162"/>
    <w:rsid w:val="008124DD"/>
    <w:rsid w:val="00822F83"/>
    <w:rsid w:val="008254E5"/>
    <w:rsid w:val="00844264"/>
    <w:rsid w:val="00844800"/>
    <w:rsid w:val="00844B36"/>
    <w:rsid w:val="00850216"/>
    <w:rsid w:val="00851DBB"/>
    <w:rsid w:val="00865088"/>
    <w:rsid w:val="008651D0"/>
    <w:rsid w:val="008745C7"/>
    <w:rsid w:val="0087722E"/>
    <w:rsid w:val="00881C22"/>
    <w:rsid w:val="00893080"/>
    <w:rsid w:val="0089542D"/>
    <w:rsid w:val="008A0BFD"/>
    <w:rsid w:val="008B0672"/>
    <w:rsid w:val="008B49DD"/>
    <w:rsid w:val="008B7A09"/>
    <w:rsid w:val="008C14E9"/>
    <w:rsid w:val="008C2D45"/>
    <w:rsid w:val="008C535F"/>
    <w:rsid w:val="008D3BD8"/>
    <w:rsid w:val="008D535F"/>
    <w:rsid w:val="008D6AF0"/>
    <w:rsid w:val="008E0566"/>
    <w:rsid w:val="008E6B0A"/>
    <w:rsid w:val="00903CA4"/>
    <w:rsid w:val="00903EAF"/>
    <w:rsid w:val="00907B5D"/>
    <w:rsid w:val="00920711"/>
    <w:rsid w:val="009251AC"/>
    <w:rsid w:val="0092627E"/>
    <w:rsid w:val="00930485"/>
    <w:rsid w:val="00936482"/>
    <w:rsid w:val="009403E4"/>
    <w:rsid w:val="00953691"/>
    <w:rsid w:val="009547E1"/>
    <w:rsid w:val="00956E8F"/>
    <w:rsid w:val="00960614"/>
    <w:rsid w:val="00971E0F"/>
    <w:rsid w:val="00997AF0"/>
    <w:rsid w:val="009A16CF"/>
    <w:rsid w:val="009A404B"/>
    <w:rsid w:val="009C7257"/>
    <w:rsid w:val="009C7959"/>
    <w:rsid w:val="009D14E9"/>
    <w:rsid w:val="009D4EE0"/>
    <w:rsid w:val="009D7AA9"/>
    <w:rsid w:val="009F4857"/>
    <w:rsid w:val="00A00F14"/>
    <w:rsid w:val="00A11CDF"/>
    <w:rsid w:val="00A131E0"/>
    <w:rsid w:val="00A13CAD"/>
    <w:rsid w:val="00A3111D"/>
    <w:rsid w:val="00A32F33"/>
    <w:rsid w:val="00A44277"/>
    <w:rsid w:val="00A51151"/>
    <w:rsid w:val="00A572B8"/>
    <w:rsid w:val="00A60074"/>
    <w:rsid w:val="00A757F5"/>
    <w:rsid w:val="00A928A0"/>
    <w:rsid w:val="00A97274"/>
    <w:rsid w:val="00AB2F05"/>
    <w:rsid w:val="00AB68A2"/>
    <w:rsid w:val="00AC206A"/>
    <w:rsid w:val="00AC76B6"/>
    <w:rsid w:val="00AC7A2D"/>
    <w:rsid w:val="00AD11D4"/>
    <w:rsid w:val="00AD6768"/>
    <w:rsid w:val="00AE178C"/>
    <w:rsid w:val="00AE4456"/>
    <w:rsid w:val="00B0325C"/>
    <w:rsid w:val="00B053C9"/>
    <w:rsid w:val="00B149BC"/>
    <w:rsid w:val="00B25762"/>
    <w:rsid w:val="00B36837"/>
    <w:rsid w:val="00B40F72"/>
    <w:rsid w:val="00B46085"/>
    <w:rsid w:val="00B51CFB"/>
    <w:rsid w:val="00B52AF4"/>
    <w:rsid w:val="00B52EB4"/>
    <w:rsid w:val="00B573FC"/>
    <w:rsid w:val="00B622B9"/>
    <w:rsid w:val="00B665A6"/>
    <w:rsid w:val="00B726BE"/>
    <w:rsid w:val="00B77499"/>
    <w:rsid w:val="00B80F4E"/>
    <w:rsid w:val="00B8533F"/>
    <w:rsid w:val="00B875B2"/>
    <w:rsid w:val="00B92E6D"/>
    <w:rsid w:val="00BA0756"/>
    <w:rsid w:val="00BA1CD8"/>
    <w:rsid w:val="00BD501D"/>
    <w:rsid w:val="00BE3C65"/>
    <w:rsid w:val="00BE53F3"/>
    <w:rsid w:val="00BF7425"/>
    <w:rsid w:val="00C26B55"/>
    <w:rsid w:val="00C416ED"/>
    <w:rsid w:val="00C43429"/>
    <w:rsid w:val="00C50EBD"/>
    <w:rsid w:val="00C517BE"/>
    <w:rsid w:val="00C56FD6"/>
    <w:rsid w:val="00C601F6"/>
    <w:rsid w:val="00C62F3A"/>
    <w:rsid w:val="00C80B3A"/>
    <w:rsid w:val="00C84573"/>
    <w:rsid w:val="00C85FA3"/>
    <w:rsid w:val="00C86431"/>
    <w:rsid w:val="00CA2D7D"/>
    <w:rsid w:val="00CA364A"/>
    <w:rsid w:val="00CB0A43"/>
    <w:rsid w:val="00CB2B93"/>
    <w:rsid w:val="00CB4A10"/>
    <w:rsid w:val="00CB5CF9"/>
    <w:rsid w:val="00CC4704"/>
    <w:rsid w:val="00CD1C9B"/>
    <w:rsid w:val="00CE35F2"/>
    <w:rsid w:val="00CE46E0"/>
    <w:rsid w:val="00D04975"/>
    <w:rsid w:val="00D21EB5"/>
    <w:rsid w:val="00D24547"/>
    <w:rsid w:val="00D24EDC"/>
    <w:rsid w:val="00D2543B"/>
    <w:rsid w:val="00D3609A"/>
    <w:rsid w:val="00D4285B"/>
    <w:rsid w:val="00D465C8"/>
    <w:rsid w:val="00D6056A"/>
    <w:rsid w:val="00D64DE0"/>
    <w:rsid w:val="00D72A1D"/>
    <w:rsid w:val="00D75DBF"/>
    <w:rsid w:val="00D77F82"/>
    <w:rsid w:val="00D80BB7"/>
    <w:rsid w:val="00D83537"/>
    <w:rsid w:val="00DA36CE"/>
    <w:rsid w:val="00DD0529"/>
    <w:rsid w:val="00DE0540"/>
    <w:rsid w:val="00E030E6"/>
    <w:rsid w:val="00E03574"/>
    <w:rsid w:val="00E107B6"/>
    <w:rsid w:val="00E12DD5"/>
    <w:rsid w:val="00E16332"/>
    <w:rsid w:val="00E20A64"/>
    <w:rsid w:val="00E42DB1"/>
    <w:rsid w:val="00E44417"/>
    <w:rsid w:val="00E46A1C"/>
    <w:rsid w:val="00E511FD"/>
    <w:rsid w:val="00E52B6C"/>
    <w:rsid w:val="00E67E7F"/>
    <w:rsid w:val="00E750FA"/>
    <w:rsid w:val="00E77B4A"/>
    <w:rsid w:val="00E868E5"/>
    <w:rsid w:val="00E9017C"/>
    <w:rsid w:val="00E90338"/>
    <w:rsid w:val="00E92528"/>
    <w:rsid w:val="00E956CD"/>
    <w:rsid w:val="00EB066E"/>
    <w:rsid w:val="00EB62B3"/>
    <w:rsid w:val="00EC0186"/>
    <w:rsid w:val="00ED386C"/>
    <w:rsid w:val="00EE1912"/>
    <w:rsid w:val="00EE5E0F"/>
    <w:rsid w:val="00EE7282"/>
    <w:rsid w:val="00F06EFD"/>
    <w:rsid w:val="00F0700E"/>
    <w:rsid w:val="00F30DE7"/>
    <w:rsid w:val="00F409B2"/>
    <w:rsid w:val="00F45A55"/>
    <w:rsid w:val="00F45D72"/>
    <w:rsid w:val="00F47CCE"/>
    <w:rsid w:val="00F47CDC"/>
    <w:rsid w:val="00F50304"/>
    <w:rsid w:val="00F52CD4"/>
    <w:rsid w:val="00F57581"/>
    <w:rsid w:val="00F70B9B"/>
    <w:rsid w:val="00F834EF"/>
    <w:rsid w:val="00FA5A78"/>
    <w:rsid w:val="00FB1955"/>
    <w:rsid w:val="00FB1B41"/>
    <w:rsid w:val="00FB74CA"/>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3"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locked="0"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qFormat/>
    <w:rsid w:val="00605FAA"/>
    <w:pPr>
      <w:spacing w:before="120" w:after="240" w:line="288" w:lineRule="auto"/>
    </w:pPr>
    <w:rPr>
      <w:rFonts w:ascii="Arial" w:hAnsi="Arial"/>
      <w:color w:val="000000" w:themeColor="text1"/>
      <w:kern w:val="2"/>
      <w:sz w:val="24"/>
      <w:lang w:val="en-US" w:eastAsia="ja-JP"/>
    </w:rPr>
  </w:style>
  <w:style w:type="paragraph" w:styleId="Heading1">
    <w:name w:val="heading 1"/>
    <w:next w:val="Normal"/>
    <w:link w:val="Heading1Char"/>
    <w:uiPriority w:val="3"/>
    <w:qFormat/>
    <w:rsid w:val="00CC4704"/>
    <w:pPr>
      <w:keepNext/>
      <w:keepLines/>
      <w:spacing w:before="360" w:after="120"/>
      <w:outlineLvl w:val="0"/>
    </w:pPr>
    <w:rPr>
      <w:rFonts w:ascii="Arial" w:eastAsia="Times New Roman" w:hAnsi="Arial"/>
      <w:b/>
      <w:bCs/>
      <w:color w:val="FFFFFF" w:themeColor="background1"/>
      <w:kern w:val="2"/>
      <w:sz w:val="64"/>
      <w:lang w:val="en-US" w:eastAsia="ja-JP"/>
    </w:rPr>
  </w:style>
  <w:style w:type="paragraph" w:styleId="Heading2">
    <w:name w:val="heading 2"/>
    <w:basedOn w:val="Normal"/>
    <w:next w:val="Normal"/>
    <w:link w:val="Heading2Char"/>
    <w:uiPriority w:val="3"/>
    <w:unhideWhenUsed/>
    <w:qFormat/>
    <w:rsid w:val="00CC4704"/>
    <w:pPr>
      <w:keepNext/>
      <w:keepLines/>
      <w:spacing w:before="200" w:after="120" w:line="240" w:lineRule="auto"/>
      <w:outlineLvl w:val="1"/>
    </w:pPr>
    <w:rPr>
      <w:rFonts w:eastAsia="Times New Roman"/>
      <w:color w:val="FFFFFF" w:themeColor="background1"/>
      <w:sz w:val="36"/>
    </w:rPr>
  </w:style>
  <w:style w:type="paragraph" w:styleId="Heading3">
    <w:name w:val="heading 3"/>
    <w:basedOn w:val="Normal"/>
    <w:next w:val="Normal"/>
    <w:link w:val="Heading3Char"/>
    <w:uiPriority w:val="3"/>
    <w:unhideWhenUsed/>
    <w:qFormat/>
    <w:rsid w:val="00CC4704"/>
    <w:pPr>
      <w:keepNext/>
      <w:keepLines/>
      <w:spacing w:after="0"/>
      <w:outlineLvl w:val="2"/>
    </w:pPr>
    <w:rPr>
      <w:b/>
      <w:bCs/>
      <w:color w:val="1F497D" w:themeColor="text2"/>
      <w:sz w:val="32"/>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C4704"/>
    <w:rPr>
      <w:rFonts w:ascii="Arial" w:eastAsia="Times New Roman" w:hAnsi="Arial"/>
      <w:b/>
      <w:bCs/>
      <w:color w:val="FFFFFF" w:themeColor="background1"/>
      <w:kern w:val="2"/>
      <w:sz w:val="64"/>
      <w:lang w:val="en-US" w:eastAsia="ja-JP"/>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CC4704"/>
    <w:rPr>
      <w:rFonts w:ascii="Arial" w:eastAsia="Times New Roman" w:hAnsi="Arial"/>
      <w:color w:val="FFFFFF" w:themeColor="background1"/>
      <w:kern w:val="2"/>
      <w:sz w:val="36"/>
      <w:lang w:val="en-US" w:eastAsia="ja-JP"/>
    </w:rPr>
  </w:style>
  <w:style w:type="character" w:customStyle="1" w:styleId="Heading3Char">
    <w:name w:val="Heading 3 Char"/>
    <w:link w:val="Heading3"/>
    <w:uiPriority w:val="3"/>
    <w:rsid w:val="00CC4704"/>
    <w:rPr>
      <w:rFonts w:ascii="Arial" w:hAnsi="Arial"/>
      <w:b/>
      <w:bCs/>
      <w:color w:val="1F497D" w:themeColor="text2"/>
      <w:kern w:val="2"/>
      <w:sz w:val="32"/>
      <w:lang w:val="en-US" w:eastAsia="ja-JP"/>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605FAA"/>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sid w:val="00605FAA"/>
    <w:rPr>
      <w:b/>
      <w:bCs/>
      <w:color w:val="auto"/>
    </w:rPr>
  </w:style>
  <w:style w:type="character" w:styleId="Hyperlink">
    <w:name w:val="Hyperlink"/>
    <w:uiPriority w:val="99"/>
    <w:unhideWhenUsed/>
    <w:rsid w:val="00CC4704"/>
    <w:rPr>
      <w:b/>
      <w:color w:val="1F497D" w:themeColor="text2"/>
      <w:u w:val="none"/>
    </w:rPr>
  </w:style>
  <w:style w:type="paragraph" w:customStyle="1" w:styleId="Bullets1">
    <w:name w:val="Bullets 1"/>
    <w:basedOn w:val="Normal"/>
    <w:qFormat/>
    <w:rsid w:val="00605FAA"/>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B665A6"/>
    <w:pPr>
      <w:pBdr>
        <w:top w:val="single" w:sz="8" w:space="7" w:color="FFFFFF"/>
        <w:left w:val="single" w:sz="8" w:space="7" w:color="FFFFFF"/>
        <w:bottom w:val="single" w:sz="8" w:space="7" w:color="FFFFFF"/>
        <w:right w:val="single" w:sz="8" w:space="7" w:color="FFFFFF"/>
      </w:pBdr>
      <w:shd w:val="clear" w:color="auto" w:fill="FFFFFF"/>
      <w:tabs>
        <w:tab w:val="left" w:pos="3969"/>
      </w:tabs>
      <w:spacing w:before="0" w:after="120" w:line="240" w:lineRule="auto"/>
      <w:ind w:right="-153"/>
    </w:pPr>
    <w:rPr>
      <w:b/>
      <w:szCs w:val="32"/>
    </w:rPr>
  </w:style>
  <w:style w:type="paragraph" w:styleId="Footer">
    <w:name w:val="footer"/>
    <w:basedOn w:val="Normal"/>
    <w:link w:val="FooterChar"/>
    <w:uiPriority w:val="99"/>
    <w:unhideWhenUsed/>
    <w:rsid w:val="00D2543B"/>
    <w:pPr>
      <w:tabs>
        <w:tab w:val="center" w:pos="4680"/>
        <w:tab w:val="right" w:pos="9360"/>
      </w:tabs>
      <w:spacing w:before="0" w:after="0" w:line="240" w:lineRule="auto"/>
    </w:pPr>
    <w:rPr>
      <w:rFonts w:asciiTheme="minorHAnsi" w:eastAsiaTheme="minorEastAsia" w:hAnsiTheme="minorHAnsi"/>
      <w:color w:val="FFFFFF" w:themeColor="background1"/>
      <w:kern w:val="0"/>
      <w:sz w:val="22"/>
      <w:szCs w:val="22"/>
      <w:lang w:eastAsia="en-US"/>
    </w:rPr>
  </w:style>
  <w:style w:type="character" w:customStyle="1" w:styleId="FooterChar">
    <w:name w:val="Footer Char"/>
    <w:basedOn w:val="DefaultParagraphFont"/>
    <w:link w:val="Footer"/>
    <w:uiPriority w:val="99"/>
    <w:rsid w:val="00D2543B"/>
    <w:rPr>
      <w:rFonts w:asciiTheme="minorHAnsi" w:eastAsiaTheme="minorEastAsia" w:hAnsiTheme="minorHAnsi"/>
      <w:color w:val="FFFFFF" w:themeColor="background1"/>
      <w:sz w:val="22"/>
      <w:szCs w:val="22"/>
      <w:lang w:val="en-US" w:eastAsia="en-US"/>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Normal"/>
    <w:qFormat/>
    <w:rsid w:val="00F70B9B"/>
    <w:pPr>
      <w:tabs>
        <w:tab w:val="center" w:pos="4513"/>
        <w:tab w:val="right" w:pos="14742"/>
      </w:tabs>
      <w:spacing w:before="360"/>
    </w:pPr>
    <w:rPr>
      <w:b/>
      <w:color w:val="1F497D"/>
      <w:sz w:val="20"/>
    </w:r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255566"/>
    <w:pPr>
      <w:tabs>
        <w:tab w:val="right" w:pos="10043"/>
      </w:tabs>
      <w:spacing w:after="120" w:line="240" w:lineRule="auto"/>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5E0565"/>
    <w:rPr>
      <w:rFonts w:ascii="Arial" w:hAnsi="Arial"/>
      <w:b/>
      <w:bCs/>
      <w:color w:val="262626" w:themeColor="text1" w:themeTint="D9"/>
      <w:sz w:val="20"/>
    </w:rPr>
  </w:style>
  <w:style w:type="paragraph" w:styleId="TOC2">
    <w:name w:val="toc 2"/>
    <w:basedOn w:val="Normal"/>
    <w:next w:val="Normal"/>
    <w:autoRedefine/>
    <w:uiPriority w:val="39"/>
    <w:unhideWhenUsed/>
    <w:rsid w:val="005330D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3"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locked="0"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qFormat/>
    <w:rsid w:val="00605FAA"/>
    <w:pPr>
      <w:spacing w:before="120" w:after="240" w:line="288" w:lineRule="auto"/>
    </w:pPr>
    <w:rPr>
      <w:rFonts w:ascii="Arial" w:hAnsi="Arial"/>
      <w:color w:val="000000" w:themeColor="text1"/>
      <w:kern w:val="2"/>
      <w:sz w:val="24"/>
      <w:lang w:val="en-US" w:eastAsia="ja-JP"/>
    </w:rPr>
  </w:style>
  <w:style w:type="paragraph" w:styleId="Heading1">
    <w:name w:val="heading 1"/>
    <w:next w:val="Normal"/>
    <w:link w:val="Heading1Char"/>
    <w:uiPriority w:val="3"/>
    <w:qFormat/>
    <w:rsid w:val="00CC4704"/>
    <w:pPr>
      <w:keepNext/>
      <w:keepLines/>
      <w:spacing w:before="360" w:after="120"/>
      <w:outlineLvl w:val="0"/>
    </w:pPr>
    <w:rPr>
      <w:rFonts w:ascii="Arial" w:eastAsia="Times New Roman" w:hAnsi="Arial"/>
      <w:b/>
      <w:bCs/>
      <w:color w:val="FFFFFF" w:themeColor="background1"/>
      <w:kern w:val="2"/>
      <w:sz w:val="64"/>
      <w:lang w:val="en-US" w:eastAsia="ja-JP"/>
    </w:rPr>
  </w:style>
  <w:style w:type="paragraph" w:styleId="Heading2">
    <w:name w:val="heading 2"/>
    <w:basedOn w:val="Normal"/>
    <w:next w:val="Normal"/>
    <w:link w:val="Heading2Char"/>
    <w:uiPriority w:val="3"/>
    <w:unhideWhenUsed/>
    <w:qFormat/>
    <w:rsid w:val="00CC4704"/>
    <w:pPr>
      <w:keepNext/>
      <w:keepLines/>
      <w:spacing w:before="200" w:after="120" w:line="240" w:lineRule="auto"/>
      <w:outlineLvl w:val="1"/>
    </w:pPr>
    <w:rPr>
      <w:rFonts w:eastAsia="Times New Roman"/>
      <w:color w:val="FFFFFF" w:themeColor="background1"/>
      <w:sz w:val="36"/>
    </w:rPr>
  </w:style>
  <w:style w:type="paragraph" w:styleId="Heading3">
    <w:name w:val="heading 3"/>
    <w:basedOn w:val="Normal"/>
    <w:next w:val="Normal"/>
    <w:link w:val="Heading3Char"/>
    <w:uiPriority w:val="3"/>
    <w:unhideWhenUsed/>
    <w:qFormat/>
    <w:rsid w:val="00CC4704"/>
    <w:pPr>
      <w:keepNext/>
      <w:keepLines/>
      <w:spacing w:after="0"/>
      <w:outlineLvl w:val="2"/>
    </w:pPr>
    <w:rPr>
      <w:b/>
      <w:bCs/>
      <w:color w:val="1F497D" w:themeColor="text2"/>
      <w:sz w:val="32"/>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C4704"/>
    <w:rPr>
      <w:rFonts w:ascii="Arial" w:eastAsia="Times New Roman" w:hAnsi="Arial"/>
      <w:b/>
      <w:bCs/>
      <w:color w:val="FFFFFF" w:themeColor="background1"/>
      <w:kern w:val="2"/>
      <w:sz w:val="64"/>
      <w:lang w:val="en-US" w:eastAsia="ja-JP"/>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CC4704"/>
    <w:rPr>
      <w:rFonts w:ascii="Arial" w:eastAsia="Times New Roman" w:hAnsi="Arial"/>
      <w:color w:val="FFFFFF" w:themeColor="background1"/>
      <w:kern w:val="2"/>
      <w:sz w:val="36"/>
      <w:lang w:val="en-US" w:eastAsia="ja-JP"/>
    </w:rPr>
  </w:style>
  <w:style w:type="character" w:customStyle="1" w:styleId="Heading3Char">
    <w:name w:val="Heading 3 Char"/>
    <w:link w:val="Heading3"/>
    <w:uiPriority w:val="3"/>
    <w:rsid w:val="00CC4704"/>
    <w:rPr>
      <w:rFonts w:ascii="Arial" w:hAnsi="Arial"/>
      <w:b/>
      <w:bCs/>
      <w:color w:val="1F497D" w:themeColor="text2"/>
      <w:kern w:val="2"/>
      <w:sz w:val="32"/>
      <w:lang w:val="en-US" w:eastAsia="ja-JP"/>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605FAA"/>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sid w:val="00605FAA"/>
    <w:rPr>
      <w:b/>
      <w:bCs/>
      <w:color w:val="auto"/>
    </w:rPr>
  </w:style>
  <w:style w:type="character" w:styleId="Hyperlink">
    <w:name w:val="Hyperlink"/>
    <w:uiPriority w:val="99"/>
    <w:unhideWhenUsed/>
    <w:rsid w:val="00CC4704"/>
    <w:rPr>
      <w:b/>
      <w:color w:val="1F497D" w:themeColor="text2"/>
      <w:u w:val="none"/>
    </w:rPr>
  </w:style>
  <w:style w:type="paragraph" w:customStyle="1" w:styleId="Bullets1">
    <w:name w:val="Bullets 1"/>
    <w:basedOn w:val="Normal"/>
    <w:qFormat/>
    <w:rsid w:val="00605FAA"/>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B665A6"/>
    <w:pPr>
      <w:pBdr>
        <w:top w:val="single" w:sz="8" w:space="7" w:color="FFFFFF"/>
        <w:left w:val="single" w:sz="8" w:space="7" w:color="FFFFFF"/>
        <w:bottom w:val="single" w:sz="8" w:space="7" w:color="FFFFFF"/>
        <w:right w:val="single" w:sz="8" w:space="7" w:color="FFFFFF"/>
      </w:pBdr>
      <w:shd w:val="clear" w:color="auto" w:fill="FFFFFF"/>
      <w:tabs>
        <w:tab w:val="left" w:pos="3969"/>
      </w:tabs>
      <w:spacing w:before="0" w:after="120" w:line="240" w:lineRule="auto"/>
      <w:ind w:right="-153"/>
    </w:pPr>
    <w:rPr>
      <w:b/>
      <w:szCs w:val="32"/>
    </w:rPr>
  </w:style>
  <w:style w:type="paragraph" w:styleId="Footer">
    <w:name w:val="footer"/>
    <w:basedOn w:val="Normal"/>
    <w:link w:val="FooterChar"/>
    <w:uiPriority w:val="99"/>
    <w:unhideWhenUsed/>
    <w:rsid w:val="00D2543B"/>
    <w:pPr>
      <w:tabs>
        <w:tab w:val="center" w:pos="4680"/>
        <w:tab w:val="right" w:pos="9360"/>
      </w:tabs>
      <w:spacing w:before="0" w:after="0" w:line="240" w:lineRule="auto"/>
    </w:pPr>
    <w:rPr>
      <w:rFonts w:asciiTheme="minorHAnsi" w:eastAsiaTheme="minorEastAsia" w:hAnsiTheme="minorHAnsi"/>
      <w:color w:val="FFFFFF" w:themeColor="background1"/>
      <w:kern w:val="0"/>
      <w:sz w:val="22"/>
      <w:szCs w:val="22"/>
      <w:lang w:eastAsia="en-US"/>
    </w:rPr>
  </w:style>
  <w:style w:type="character" w:customStyle="1" w:styleId="FooterChar">
    <w:name w:val="Footer Char"/>
    <w:basedOn w:val="DefaultParagraphFont"/>
    <w:link w:val="Footer"/>
    <w:uiPriority w:val="99"/>
    <w:rsid w:val="00D2543B"/>
    <w:rPr>
      <w:rFonts w:asciiTheme="minorHAnsi" w:eastAsiaTheme="minorEastAsia" w:hAnsiTheme="minorHAnsi"/>
      <w:color w:val="FFFFFF" w:themeColor="background1"/>
      <w:sz w:val="22"/>
      <w:szCs w:val="22"/>
      <w:lang w:val="en-US" w:eastAsia="en-US"/>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Normal"/>
    <w:qFormat/>
    <w:rsid w:val="00F70B9B"/>
    <w:pPr>
      <w:tabs>
        <w:tab w:val="center" w:pos="4513"/>
        <w:tab w:val="right" w:pos="14742"/>
      </w:tabs>
      <w:spacing w:before="360"/>
    </w:pPr>
    <w:rPr>
      <w:b/>
      <w:color w:val="1F497D"/>
      <w:sz w:val="20"/>
    </w:r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255566"/>
    <w:pPr>
      <w:tabs>
        <w:tab w:val="right" w:pos="10043"/>
      </w:tabs>
      <w:spacing w:after="120" w:line="240" w:lineRule="auto"/>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5E0565"/>
    <w:rPr>
      <w:rFonts w:ascii="Arial" w:hAnsi="Arial"/>
      <w:b/>
      <w:bCs/>
      <w:color w:val="262626" w:themeColor="text1" w:themeTint="D9"/>
      <w:sz w:val="20"/>
    </w:rPr>
  </w:style>
  <w:style w:type="paragraph" w:styleId="TOC2">
    <w:name w:val="toc 2"/>
    <w:basedOn w:val="Normal"/>
    <w:next w:val="Normal"/>
    <w:autoRedefine/>
    <w:uiPriority w:val="39"/>
    <w:unhideWhenUsed/>
    <w:rsid w:val="005330D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luke.francis@s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aboriginal.telethonkids.org.au/media/673981/wt-part-3-chapt-12-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21e3d76-86ff-438b-bb34-04f08c0990ef">Corporate</Category>
    <Custodian xmlns="921e3d76-86ff-438b-bb34-04f08c0990ef">
      <UserInfo>
        <DisplayName>Rosi Punturiero</DisplayName>
        <AccountId>650</AccountId>
        <AccountType/>
      </UserInfo>
    </Custodian>
  </documentManagement>
</p:properties>
</file>

<file path=customXml/item2.xml><?xml version="1.0" encoding="utf-8"?>
<metadata xmlns="http://www.objective.com/ecm/document/metadata/271343BCD6D049598449C876307003E4" version="1.0.0">
  <systemFields>
    <field name="Objective-Id">
      <value order="0">A17550891</value>
    </field>
    <field name="Objective-Title">
      <value order="0">YJ Programs - Aboriginal Cultural Proficiency Guide - Public</value>
    </field>
    <field name="Objective-Description">
      <value order="0"/>
    </field>
    <field name="Objective-CreationStamp">
      <value order="0">2017-09-05T07:12:41Z</value>
    </field>
    <field name="Objective-IsApproved">
      <value order="0">false</value>
    </field>
    <field name="Objective-IsPublished">
      <value order="0">false</value>
    </field>
    <field name="Objective-DatePublished">
      <value order="0"/>
    </field>
    <field name="Objective-ModificationStamp">
      <value order="0">2017-09-08T01:42:18Z</value>
    </field>
    <field name="Objective-Owner">
      <value order="0">Holicky, Nada - WNRHOL</value>
    </field>
    <field name="Objective-Path">
      <value order="0">Global Folder:Youth Justice:Publication:Reviewing:Policy - Publication - Reviewing:Psychology Services Document Reviews</value>
    </field>
    <field name="Objective-Parent">
      <value order="0">Psychology Services Document Reviews</value>
    </field>
    <field name="Objective-State">
      <value order="0">Being Edited</value>
    </field>
    <field name="Objective-VersionId">
      <value order="0">vA23090906</value>
    </field>
    <field name="Objective-Version">
      <value order="0">0.4</value>
    </field>
    <field name="Objective-VersionNumber">
      <value order="0">4</value>
    </field>
    <field name="Objective-VersionComment">
      <value order="0"/>
    </field>
    <field name="Objective-FileNumber">
      <value order="0">qA855249</value>
    </field>
    <field name="Objective-Classification">
      <value order="0"/>
    </field>
    <field name="Objective-Caveats">
      <value order="0"/>
    </field>
  </systemFields>
  <catalogues>
    <catalogue name="Incoming Correspondence Type Catalogue" type="type" ori="id:cA100">
      <field name="Objective-Business Unit">
        <value order="0">kA2203:kA2870</value>
      </field>
      <field name="Objective-Document Type">
        <value order="0">eobjA377651</value>
      </field>
      <field name="Objective-Security Classification">
        <value order="0">kA2783</value>
      </field>
      <field name="Objective-Description - Abstract">
        <value order="0"/>
      </field>
      <field name="Objective-Suburb">
        <value order="0"/>
      </field>
      <field name="Objective-Address Line 1">
        <value order="0"/>
      </field>
      <field name="Objective-Senders Reference">
        <value order="0"/>
      </field>
      <field name="Objective-Author Name">
        <value order="0"/>
      </field>
      <field name="Objective-Date Received">
        <value order="0"/>
      </field>
      <field name="Objective-State">
        <value order="0"/>
      </field>
      <field name="Objective-Action Officer">
        <value order="0"/>
      </field>
      <field name="Objective-Date Reply Due">
        <value order="0"/>
      </field>
      <field name="Objective-Address Line 2">
        <value order="0"/>
      </field>
      <field name="Objective-Date Reply Sent">
        <value order="0"/>
      </field>
      <field name="Objective-Date of Correspondence">
        <value order="0"/>
      </field>
      <field name="Objective-Postcode">
        <value order="0"/>
      </field>
      <field name="Objective-E-Mail Address">
        <value order="0"/>
      </field>
      <field name="Objective-Telephone">
        <value order="0"/>
      </field>
      <field name="Objective-Deleg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8D6C562F08FF24E90C127B34CCE7858" ma:contentTypeVersion="2" ma:contentTypeDescription="Create a new document." ma:contentTypeScope="" ma:versionID="8e8af86277213afa2c886ed07e0a3c8d">
  <xsd:schema xmlns:xsd="http://www.w3.org/2001/XMLSchema" xmlns:xs="http://www.w3.org/2001/XMLSchema" xmlns:p="http://schemas.microsoft.com/office/2006/metadata/properties" xmlns:ns2="6dedea47-0008-41e6-a27d-18bb16a051c7" xmlns:ns3="921e3d76-86ff-438b-bb34-04f08c0990ef" targetNamespace="http://schemas.microsoft.com/office/2006/metadata/properties" ma:root="true" ma:fieldsID="1d79ecc395c9cf6155c27f9cb3f2e4b8" ns2:_="" ns3:_="">
    <xsd:import namespace="6dedea47-0008-41e6-a27d-18bb16a051c7"/>
    <xsd:import namespace="921e3d76-86ff-438b-bb34-04f08c0990e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Custod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ea47-0008-41e6-a27d-18bb16a05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e3d76-86ff-438b-bb34-04f08c0990ef" elementFormDefault="qualified">
    <xsd:import namespace="http://schemas.microsoft.com/office/2006/documentManagement/types"/>
    <xsd:import namespace="http://schemas.microsoft.com/office/infopath/2007/PartnerControls"/>
    <xsd:element name="Category" ma:index="11" nillable="true" ma:displayName="Division" ma:format="Dropdown" ma:internalName="Category">
      <xsd:simpleType>
        <xsd:restriction base="dms:Choice">
          <xsd:enumeration value="N/A"/>
          <xsd:enumeration value="Aboriginal"/>
          <xsd:enumeration value="Corporate"/>
          <xsd:enumeration value="Disability SA"/>
          <xsd:enumeration value="Disability and Domiciliary Care Services"/>
          <xsd:enumeration value="Community Services"/>
          <xsd:enumeration value="Housing SA"/>
          <xsd:enumeration value="Financial Services"/>
          <xsd:enumeration value="Office for Volunteers"/>
          <xsd:enumeration value="Office for Women"/>
          <xsd:enumeration value="Office for Youth"/>
          <xsd:enumeration value="Multicultural SA"/>
          <xsd:enumeration value="Corporate Services"/>
        </xsd:restriction>
      </xsd:simpleType>
    </xsd:element>
    <xsd:element name="Custodian" ma:index="12" nillable="true" ma:displayName="Custodian" ma:list="UserInfo" ma:SharePointGroup="0" ma:internalName="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6FFC-8FC6-4716-A2B1-74081E98B2B9}">
  <ds:schemaRefs>
    <ds:schemaRef ds:uri="http://schemas.microsoft.com/office/2006/metadata/properties"/>
    <ds:schemaRef ds:uri="http://schemas.microsoft.com/office/infopath/2007/PartnerControls"/>
    <ds:schemaRef ds:uri="921e3d76-86ff-438b-bb34-04f08c0990ef"/>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3.xml><?xml version="1.0" encoding="utf-8"?>
<ds:datastoreItem xmlns:ds="http://schemas.openxmlformats.org/officeDocument/2006/customXml" ds:itemID="{96F34D3B-153E-467D-8D33-96A74F981DB9}">
  <ds:schemaRefs>
    <ds:schemaRef ds:uri="http://schemas.microsoft.com/sharepoint/v3/contenttype/forms"/>
  </ds:schemaRefs>
</ds:datastoreItem>
</file>

<file path=customXml/itemProps4.xml><?xml version="1.0" encoding="utf-8"?>
<ds:datastoreItem xmlns:ds="http://schemas.openxmlformats.org/officeDocument/2006/customXml" ds:itemID="{5F72DD78-BA37-4CDB-BABF-38492E45080F}">
  <ds:schemaRefs>
    <ds:schemaRef ds:uri="http://schemas.microsoft.com/sharepoint/events"/>
  </ds:schemaRefs>
</ds:datastoreItem>
</file>

<file path=customXml/itemProps5.xml><?xml version="1.0" encoding="utf-8"?>
<ds:datastoreItem xmlns:ds="http://schemas.openxmlformats.org/officeDocument/2006/customXml" ds:itemID="{7ED84166-33FD-4D44-854D-D761AD92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dea47-0008-41e6-a27d-18bb16a051c7"/>
    <ds:schemaRef ds:uri="921e3d76-86ff-438b-bb34-04f08c099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3525D9-7E8D-48EA-BB3D-BEF5077C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Corporate Template one column</vt:lpstr>
    </vt:vector>
  </TitlesOfParts>
  <Company>Dept. for Communities &amp; Social Inclusion</Company>
  <LinksUpToDate>false</LinksUpToDate>
  <CharactersWithSpaces>9901</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 one column</dc:title>
  <dc:creator>Rosi Punturiero</dc:creator>
  <cp:lastModifiedBy>Soar, Jan (DCSI-YouthJustice)</cp:lastModifiedBy>
  <cp:revision>2</cp:revision>
  <cp:lastPrinted>2014-09-02T06:02:00Z</cp:lastPrinted>
  <dcterms:created xsi:type="dcterms:W3CDTF">2017-09-08T03:16:00Z</dcterms:created>
  <dcterms:modified xsi:type="dcterms:W3CDTF">2017-09-08T03:16:00Z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0x010100D8D6C562F08FF24E90C127B34CCE7858</vt:lpwstr>
  </property>
  <property fmtid="{D5CDD505-2E9C-101B-9397-08002B2CF9AE}" pid="4" name="Objective-Id">
    <vt:lpwstr>A17550891</vt:lpwstr>
  </property>
  <property fmtid="{D5CDD505-2E9C-101B-9397-08002B2CF9AE}" pid="5" name="Objective-Title">
    <vt:lpwstr>YJ Programs - Aboriginal Cultural Proficiency Guide - Public</vt:lpwstr>
  </property>
  <property fmtid="{D5CDD505-2E9C-101B-9397-08002B2CF9AE}" pid="6" name="Objective-Description">
    <vt:lpwstr/>
  </property>
  <property fmtid="{D5CDD505-2E9C-101B-9397-08002B2CF9AE}" pid="7" name="Objective-CreationStamp">
    <vt:filetime>2017-09-05T07:12:57Z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2017-09-08T01:46:32Z</vt:filetime>
  </property>
  <property fmtid="{D5CDD505-2E9C-101B-9397-08002B2CF9AE}" pid="12" name="Objective-Owner">
    <vt:lpwstr>Holicky, Nada - WNRHOL</vt:lpwstr>
  </property>
  <property fmtid="{D5CDD505-2E9C-101B-9397-08002B2CF9AE}" pid="13" name="Objective-Path">
    <vt:lpwstr>Global Folder:Youth Justice:Publication:Reviewing:Policy - Publication - Reviewing:Psychology Services Document Reviews:</vt:lpwstr>
  </property>
  <property fmtid="{D5CDD505-2E9C-101B-9397-08002B2CF9AE}" pid="14" name="Objective-Parent">
    <vt:lpwstr>Psychology Services Document Reviews</vt:lpwstr>
  </property>
  <property fmtid="{D5CDD505-2E9C-101B-9397-08002B2CF9AE}" pid="15" name="Objective-State">
    <vt:lpwstr>Being Drafted</vt:lpwstr>
  </property>
  <property fmtid="{D5CDD505-2E9C-101B-9397-08002B2CF9AE}" pid="16" name="Objective-VersionId">
    <vt:lpwstr>vA23090906</vt:lpwstr>
  </property>
  <property fmtid="{D5CDD505-2E9C-101B-9397-08002B2CF9AE}" pid="17" name="Objective-Version">
    <vt:lpwstr>0.4</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Business Unit">
    <vt:lpwstr>kA2203:kA2870</vt:lpwstr>
  </property>
  <property fmtid="{D5CDD505-2E9C-101B-9397-08002B2CF9AE}" pid="24" name="Objective-Document Type">
    <vt:lpwstr>eobjA377651</vt:lpwstr>
  </property>
  <property fmtid="{D5CDD505-2E9C-101B-9397-08002B2CF9AE}" pid="25" name="Objective-Security Classification">
    <vt:lpwstr>kA2783</vt:lpwstr>
  </property>
  <property fmtid="{D5CDD505-2E9C-101B-9397-08002B2CF9AE}" pid="26" name="Objective-Description - Abstract">
    <vt:lpwstr/>
  </property>
  <property fmtid="{D5CDD505-2E9C-101B-9397-08002B2CF9AE}" pid="27" name="Objective-Suburb">
    <vt:lpwstr/>
  </property>
  <property fmtid="{D5CDD505-2E9C-101B-9397-08002B2CF9AE}" pid="28" name="Objective-Address Line 1">
    <vt:lpwstr/>
  </property>
  <property fmtid="{D5CDD505-2E9C-101B-9397-08002B2CF9AE}" pid="29" name="Objective-Senders Reference">
    <vt:lpwstr/>
  </property>
  <property fmtid="{D5CDD505-2E9C-101B-9397-08002B2CF9AE}" pid="30" name="Objective-Author Name">
    <vt:lpwstr/>
  </property>
  <property fmtid="{D5CDD505-2E9C-101B-9397-08002B2CF9AE}" pid="31" name="Objective-Date Received">
    <vt:lpwstr/>
  </property>
  <property fmtid="{D5CDD505-2E9C-101B-9397-08002B2CF9AE}" pid="32" name="Objective-Action Officer">
    <vt:lpwstr/>
  </property>
  <property fmtid="{D5CDD505-2E9C-101B-9397-08002B2CF9AE}" pid="33" name="Objective-Date Reply Due">
    <vt:lpwstr/>
  </property>
  <property fmtid="{D5CDD505-2E9C-101B-9397-08002B2CF9AE}" pid="34" name="Objective-Address Line 2">
    <vt:lpwstr/>
  </property>
  <property fmtid="{D5CDD505-2E9C-101B-9397-08002B2CF9AE}" pid="35" name="Objective-Date Reply Sent">
    <vt:lpwstr/>
  </property>
  <property fmtid="{D5CDD505-2E9C-101B-9397-08002B2CF9AE}" pid="36" name="Objective-Date of Correspondence">
    <vt:lpwstr/>
  </property>
  <property fmtid="{D5CDD505-2E9C-101B-9397-08002B2CF9AE}" pid="37" name="Objective-Postcode">
    <vt:lpwstr/>
  </property>
  <property fmtid="{D5CDD505-2E9C-101B-9397-08002B2CF9AE}" pid="38" name="Objective-E-Mail Address">
    <vt:lpwstr/>
  </property>
  <property fmtid="{D5CDD505-2E9C-101B-9397-08002B2CF9AE}" pid="39" name="Objective-Telephone">
    <vt:lpwstr/>
  </property>
  <property fmtid="{D5CDD505-2E9C-101B-9397-08002B2CF9AE}" pid="40" name="Objective-Delegator">
    <vt:lpwstr/>
  </property>
  <property fmtid="{D5CDD505-2E9C-101B-9397-08002B2CF9AE}" pid="41" name="Objective-Comment">
    <vt:lpwstr/>
  </property>
  <property fmtid="{D5CDD505-2E9C-101B-9397-08002B2CF9AE}" pid="42" name="Objective-Business Unit [system]">
    <vt:lpwstr>DCSI:Youth Justice</vt:lpwstr>
  </property>
  <property fmtid="{D5CDD505-2E9C-101B-9397-08002B2CF9AE}" pid="43" name="Objective-Security Classification [system]">
    <vt:lpwstr>Public</vt:lpwstr>
  </property>
  <property fmtid="{D5CDD505-2E9C-101B-9397-08002B2CF9AE}" pid="44" name="Objective-Document Type [system]">
    <vt:lpwstr>Fact / InformationSheet</vt:lpwstr>
  </property>
  <property fmtid="{D5CDD505-2E9C-101B-9397-08002B2CF9AE}" pid="45" name="Objective-Author Name [system]">
    <vt:lpwstr/>
  </property>
  <property fmtid="{D5CDD505-2E9C-101B-9397-08002B2CF9AE}" pid="46" name="Objective-Date of Correspondence [system]">
    <vt:lpwstr/>
  </property>
  <property fmtid="{D5CDD505-2E9C-101B-9397-08002B2CF9AE}" pid="47" name="Objective-Date Received [system]">
    <vt:lpwstr/>
  </property>
  <property fmtid="{D5CDD505-2E9C-101B-9397-08002B2CF9AE}" pid="48" name="Objective-Senders Reference [system]">
    <vt:lpwstr/>
  </property>
  <property fmtid="{D5CDD505-2E9C-101B-9397-08002B2CF9AE}" pid="49" name="Objective-E-Mail Address [system]">
    <vt:lpwstr/>
  </property>
  <property fmtid="{D5CDD505-2E9C-101B-9397-08002B2CF9AE}" pid="50" name="Objective-Telephone [system]">
    <vt:lpwstr/>
  </property>
  <property fmtid="{D5CDD505-2E9C-101B-9397-08002B2CF9AE}" pid="51" name="Objective-Address Line 1 [system]">
    <vt:lpwstr/>
  </property>
  <property fmtid="{D5CDD505-2E9C-101B-9397-08002B2CF9AE}" pid="52" name="Objective-Address Line 2 [system]">
    <vt:lpwstr/>
  </property>
  <property fmtid="{D5CDD505-2E9C-101B-9397-08002B2CF9AE}" pid="53" name="Objective-Suburb [system]">
    <vt:lpwstr/>
  </property>
  <property fmtid="{D5CDD505-2E9C-101B-9397-08002B2CF9AE}" pid="54" name="Objective-State [system]">
    <vt:lpwstr/>
  </property>
  <property fmtid="{D5CDD505-2E9C-101B-9397-08002B2CF9AE}" pid="55" name="Objective-Postcode [system]">
    <vt:lpwstr/>
  </property>
  <property fmtid="{D5CDD505-2E9C-101B-9397-08002B2CF9AE}" pid="56" name="Objective-Description - Abstract [system]">
    <vt:lpwstr/>
  </property>
  <property fmtid="{D5CDD505-2E9C-101B-9397-08002B2CF9AE}" pid="57" name="Objective-Action Officer [system]">
    <vt:lpwstr/>
  </property>
  <property fmtid="{D5CDD505-2E9C-101B-9397-08002B2CF9AE}" pid="58" name="Objective-Delegator [system]">
    <vt:lpwstr/>
  </property>
  <property fmtid="{D5CDD505-2E9C-101B-9397-08002B2CF9AE}" pid="59" name="Objective-Date Reply Due [system]">
    <vt:lpwstr/>
  </property>
  <property fmtid="{D5CDD505-2E9C-101B-9397-08002B2CF9AE}" pid="60" name="Objective-Date Reply Sent [system]">
    <vt:lpwstr/>
  </property>
</Properties>
</file>