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50390" w14:textId="565CC144" w:rsidR="002809D4" w:rsidRPr="00D82F62" w:rsidRDefault="4EDA46C9" w:rsidP="00D82F62">
      <w:pPr>
        <w:pStyle w:val="Heading1"/>
      </w:pPr>
      <w:bookmarkStart w:id="0" w:name="_Toc40782120"/>
      <w:r w:rsidRPr="00D82F62">
        <w:t xml:space="preserve">Young People Connected, Communities Protected </w:t>
      </w:r>
      <w:r w:rsidR="00D82F62" w:rsidRPr="00D82F62">
        <w:br/>
      </w:r>
      <w:r w:rsidR="6E1BBF64" w:rsidRPr="00D82F62">
        <w:t>South Australia’s Youth Justice State Plan</w:t>
      </w:r>
      <w:r w:rsidR="00D82F62" w:rsidRPr="00D82F62">
        <w:br/>
      </w:r>
      <w:r w:rsidR="6049477D" w:rsidRPr="00D82F62">
        <w:t>2020</w:t>
      </w:r>
      <w:r w:rsidR="00450604" w:rsidRPr="00D82F62">
        <w:t>–</w:t>
      </w:r>
      <w:r w:rsidR="6049477D" w:rsidRPr="00D82F62">
        <w:t>2023</w:t>
      </w:r>
      <w:bookmarkEnd w:id="0"/>
    </w:p>
    <w:p w14:paraId="47BE47E7" w14:textId="51F4B474" w:rsidR="00EF2C38" w:rsidRPr="00F70CD1" w:rsidRDefault="00EF2C38" w:rsidP="00D82F62">
      <w:pPr>
        <w:pStyle w:val="paragraph"/>
        <w:rPr>
          <w:rFonts w:eastAsiaTheme="minorHAnsi"/>
        </w:rPr>
      </w:pPr>
      <w:r w:rsidRPr="00F70CD1">
        <w:rPr>
          <w:rFonts w:eastAsiaTheme="minorHAnsi"/>
        </w:rPr>
        <w:br w:type="page"/>
      </w:r>
    </w:p>
    <w:p w14:paraId="49B4F089" w14:textId="42E69467" w:rsidR="005474F9" w:rsidRPr="00D82F62" w:rsidRDefault="005474F9" w:rsidP="00D82F62">
      <w:pPr>
        <w:pStyle w:val="Heading2"/>
      </w:pPr>
      <w:bookmarkStart w:id="1" w:name="_Toc39012669"/>
      <w:bookmarkStart w:id="2" w:name="_Toc40782121"/>
      <w:r w:rsidRPr="00D82F62">
        <w:lastRenderedPageBreak/>
        <w:t>Acknowledgement to Traditional Owners</w:t>
      </w:r>
      <w:bookmarkEnd w:id="1"/>
      <w:bookmarkEnd w:id="2"/>
    </w:p>
    <w:p w14:paraId="386A38FD" w14:textId="06CDA8D3" w:rsidR="00C1448E" w:rsidRPr="00230146" w:rsidRDefault="000812AB" w:rsidP="00D82F62">
      <w:r w:rsidRPr="00D82F62">
        <w:t>The Department of Human Services</w:t>
      </w:r>
      <w:r w:rsidR="00C1448E" w:rsidRPr="00D82F62">
        <w:t xml:space="preserve"> </w:t>
      </w:r>
      <w:r w:rsidR="08756534" w:rsidRPr="00D82F62">
        <w:t xml:space="preserve">(DHS) </w:t>
      </w:r>
      <w:r w:rsidR="00C1448E" w:rsidRPr="00D82F62">
        <w:t>acknowledge</w:t>
      </w:r>
      <w:r w:rsidRPr="00D82F62">
        <w:t>s</w:t>
      </w:r>
      <w:r w:rsidR="00C1448E" w:rsidRPr="00D82F62">
        <w:t xml:space="preserve"> and respect</w:t>
      </w:r>
      <w:r w:rsidRPr="00D82F62">
        <w:t>s</w:t>
      </w:r>
      <w:r w:rsidR="00C1448E" w:rsidRPr="00D82F62">
        <w:t xml:space="preserve"> Aboriginal people</w:t>
      </w:r>
      <w:r w:rsidR="0023675B" w:rsidRPr="00D82F62">
        <w:t>s</w:t>
      </w:r>
      <w:r w:rsidR="00C1448E" w:rsidRPr="00D82F62">
        <w:t xml:space="preserve"> as the</w:t>
      </w:r>
      <w:r w:rsidR="00C1448E" w:rsidRPr="00230146">
        <w:t xml:space="preserve"> State’s First Peoples and </w:t>
      </w:r>
      <w:proofErr w:type="gramStart"/>
      <w:r w:rsidR="00C1448E" w:rsidRPr="00230146">
        <w:t>nations, and</w:t>
      </w:r>
      <w:proofErr w:type="gramEnd"/>
      <w:r w:rsidR="00C1448E" w:rsidRPr="00230146">
        <w:t xml:space="preserve"> recognise</w:t>
      </w:r>
      <w:r w:rsidRPr="00230146">
        <w:t>s</w:t>
      </w:r>
      <w:r w:rsidR="00C1448E" w:rsidRPr="00230146">
        <w:t xml:space="preserve"> Aboriginal people</w:t>
      </w:r>
      <w:r w:rsidR="0023675B" w:rsidRPr="00230146">
        <w:t>s</w:t>
      </w:r>
      <w:r w:rsidR="00C1448E" w:rsidRPr="00230146">
        <w:t xml:space="preserve"> as </w:t>
      </w:r>
      <w:r w:rsidR="005474F9" w:rsidRPr="00230146">
        <w:t>T</w:t>
      </w:r>
      <w:r w:rsidR="00C1448E" w:rsidRPr="00230146">
        <w:t xml:space="preserve">raditional </w:t>
      </w:r>
      <w:r w:rsidR="005474F9" w:rsidRPr="00230146">
        <w:t>O</w:t>
      </w:r>
      <w:r w:rsidR="00C1448E" w:rsidRPr="00230146">
        <w:t>wners and occupants of land</w:t>
      </w:r>
      <w:r w:rsidR="0023675B" w:rsidRPr="00230146">
        <w:t>s</w:t>
      </w:r>
      <w:r w:rsidR="00C1448E" w:rsidRPr="00230146">
        <w:t xml:space="preserve"> and waters</w:t>
      </w:r>
      <w:r w:rsidR="0023675B" w:rsidRPr="00230146">
        <w:t xml:space="preserve"> in South Australia</w:t>
      </w:r>
      <w:r w:rsidR="00C1448E" w:rsidRPr="00230146">
        <w:t>.</w:t>
      </w:r>
      <w:r w:rsidR="005474F9" w:rsidRPr="00230146">
        <w:t xml:space="preserve"> We respect and celebrate the cultur</w:t>
      </w:r>
      <w:r w:rsidR="6902E4E0" w:rsidRPr="00230146">
        <w:t>al</w:t>
      </w:r>
      <w:r w:rsidR="005474F9" w:rsidRPr="00230146">
        <w:t xml:space="preserve"> and spiritual identities of Aboriginal children and young people, and their communities.</w:t>
      </w:r>
    </w:p>
    <w:p w14:paraId="15416D45" w14:textId="10FB4B22" w:rsidR="002809D4" w:rsidRPr="00230146" w:rsidRDefault="47F79402" w:rsidP="00D82F62">
      <w:r w:rsidRPr="00230146">
        <w:t xml:space="preserve">Please note that the term </w:t>
      </w:r>
      <w:r w:rsidR="005474F9" w:rsidRPr="00230146">
        <w:t>“</w:t>
      </w:r>
      <w:r w:rsidRPr="00230146">
        <w:t>Aboriginal</w:t>
      </w:r>
      <w:r w:rsidR="005474F9" w:rsidRPr="00230146">
        <w:t>”</w:t>
      </w:r>
      <w:r w:rsidRPr="00230146">
        <w:t xml:space="preserve"> in this document refers to all Aboriginal and Torres Strait Islander peoples</w:t>
      </w:r>
      <w:r w:rsidR="005451CE" w:rsidRPr="00230146">
        <w:t xml:space="preserve">, and that this term is used </w:t>
      </w:r>
      <w:r w:rsidR="00333587" w:rsidRPr="00230146">
        <w:t>as First Nations peoples in South Australia are predominantly Aboriginal peoples. DHS acknowledges and respects that Aboriginal people prefer to be identified, where possible, by their specific language group</w:t>
      </w:r>
      <w:r w:rsidR="6F90EC5C" w:rsidRPr="00230146">
        <w:t xml:space="preserve"> or nation.</w:t>
      </w:r>
    </w:p>
    <w:p w14:paraId="793049B5" w14:textId="4E45D2ED" w:rsidR="001039F3" w:rsidRPr="00230146" w:rsidRDefault="00F2464F" w:rsidP="00D82F62">
      <w:r w:rsidRPr="00230146">
        <w:t xml:space="preserve">Aboriginal children and young people </w:t>
      </w:r>
      <w:r w:rsidR="009B1965" w:rsidRPr="00230146">
        <w:t xml:space="preserve">have the right to </w:t>
      </w:r>
      <w:r w:rsidR="002350BE" w:rsidRPr="00230146">
        <w:t xml:space="preserve">grow up free </w:t>
      </w:r>
      <w:r w:rsidR="00B802FD" w:rsidRPr="00230146">
        <w:t xml:space="preserve">from discrimination of any kind, </w:t>
      </w:r>
      <w:r w:rsidR="009D3858" w:rsidRPr="00230146">
        <w:t>and to exercise and enjoy their rights to family and culture</w:t>
      </w:r>
      <w:r w:rsidR="000A0768" w:rsidRPr="00230146">
        <w:t>,</w:t>
      </w:r>
      <w:r w:rsidR="003C25EF" w:rsidRPr="00230146">
        <w:t xml:space="preserve"> in </w:t>
      </w:r>
      <w:r w:rsidR="001039F3" w:rsidRPr="00230146">
        <w:t xml:space="preserve">accordance with the </w:t>
      </w:r>
      <w:r w:rsidR="002D7725" w:rsidRPr="00230146">
        <w:t>United Nations Declaration on the Rights of Indigenous Peoples</w:t>
      </w:r>
      <w:r w:rsidR="00BA199E" w:rsidRPr="00230146">
        <w:t>.</w:t>
      </w:r>
    </w:p>
    <w:p w14:paraId="3456F2C4" w14:textId="1BD39355" w:rsidR="00EF2C38" w:rsidRPr="00230146" w:rsidRDefault="00212EA9" w:rsidP="00D82F62">
      <w:r w:rsidRPr="00230146">
        <w:t xml:space="preserve">We are </w:t>
      </w:r>
      <w:r w:rsidR="4EDA46C9" w:rsidRPr="00230146">
        <w:t>committed to ensuring that the needs and aspirations of Aboriginal people are incorporated in the design, development, monitoring and evaluation of deliverable actions.</w:t>
      </w:r>
    </w:p>
    <w:p w14:paraId="5038EEC2" w14:textId="77777777" w:rsidR="00EF2C38" w:rsidRPr="00F70CD1" w:rsidRDefault="00EF2C38" w:rsidP="00D82F62">
      <w:r w:rsidRPr="00F70CD1">
        <w:br w:type="page"/>
      </w:r>
    </w:p>
    <w:p w14:paraId="449BB2BC" w14:textId="69D94BAC" w:rsidR="00EF2C38" w:rsidRPr="00574661" w:rsidRDefault="00EF2C38" w:rsidP="00D82F62">
      <w:pPr>
        <w:pStyle w:val="Heading2"/>
      </w:pPr>
      <w:bookmarkStart w:id="3" w:name="_Toc32241450"/>
      <w:bookmarkStart w:id="4" w:name="_Toc40782122"/>
      <w:r w:rsidRPr="00574661">
        <w:lastRenderedPageBreak/>
        <w:t>Contents</w:t>
      </w:r>
      <w:bookmarkEnd w:id="3"/>
      <w:bookmarkEnd w:id="4"/>
    </w:p>
    <w:sdt>
      <w:sdtPr>
        <w:rPr>
          <w:rFonts w:asciiTheme="minorHAnsi" w:eastAsiaTheme="minorHAnsi" w:hAnsiTheme="minorHAnsi" w:cstheme="minorBidi"/>
          <w:b w:val="0"/>
          <w:bCs w:val="0"/>
          <w:color w:val="auto"/>
          <w:sz w:val="25"/>
          <w:szCs w:val="25"/>
          <w:shd w:val="clear" w:color="auto" w:fill="E6E6E6"/>
          <w:lang w:val="en-AU"/>
        </w:rPr>
        <w:id w:val="1459691125"/>
        <w:docPartObj>
          <w:docPartGallery w:val="Table of Contents"/>
          <w:docPartUnique/>
        </w:docPartObj>
      </w:sdtPr>
      <w:sdtEndPr/>
      <w:sdtContent>
        <w:p w14:paraId="020C5CB0" w14:textId="62DE4CCB" w:rsidR="00BB2EF1" w:rsidRPr="000D51AD" w:rsidRDefault="00BB2EF1" w:rsidP="00D82F62">
          <w:pPr>
            <w:pStyle w:val="TOCHeading"/>
            <w:rPr>
              <w:sz w:val="2"/>
              <w:szCs w:val="2"/>
            </w:rPr>
          </w:pPr>
        </w:p>
        <w:p w14:paraId="3C0362F1" w14:textId="5958C303" w:rsidR="00D82F62" w:rsidRDefault="00D82F62" w:rsidP="00C3767A">
          <w:pPr>
            <w:pStyle w:val="TOC2"/>
            <w:rPr>
              <w:rFonts w:eastAsiaTheme="minorEastAsia"/>
              <w:sz w:val="22"/>
              <w:szCs w:val="22"/>
              <w:lang w:eastAsia="en-AU"/>
            </w:rPr>
          </w:pPr>
          <w:r>
            <w:rPr>
              <w:color w:val="2B579A"/>
              <w:shd w:val="clear" w:color="auto" w:fill="E6E6E6"/>
            </w:rPr>
            <w:fldChar w:fldCharType="begin"/>
          </w:r>
          <w:r>
            <w:rPr>
              <w:color w:val="2B579A"/>
              <w:shd w:val="clear" w:color="auto" w:fill="E6E6E6"/>
            </w:rPr>
            <w:instrText xml:space="preserve"> TOC \o "1-2" \h \z \u </w:instrText>
          </w:r>
          <w:r>
            <w:rPr>
              <w:color w:val="2B579A"/>
              <w:shd w:val="clear" w:color="auto" w:fill="E6E6E6"/>
            </w:rPr>
            <w:fldChar w:fldCharType="separate"/>
          </w:r>
          <w:hyperlink w:anchor="_Toc40782121" w:history="1">
            <w:r w:rsidRPr="00221316">
              <w:rPr>
                <w:rStyle w:val="Hyperlink"/>
              </w:rPr>
              <w:t>Acknowledgement to Traditional Owners</w:t>
            </w:r>
            <w:r>
              <w:rPr>
                <w:webHidden/>
              </w:rPr>
              <w:tab/>
            </w:r>
            <w:r>
              <w:rPr>
                <w:webHidden/>
              </w:rPr>
              <w:fldChar w:fldCharType="begin"/>
            </w:r>
            <w:r>
              <w:rPr>
                <w:webHidden/>
              </w:rPr>
              <w:instrText xml:space="preserve"> PAGEREF _Toc40782121 \h </w:instrText>
            </w:r>
            <w:r>
              <w:rPr>
                <w:webHidden/>
              </w:rPr>
            </w:r>
            <w:r>
              <w:rPr>
                <w:webHidden/>
              </w:rPr>
              <w:fldChar w:fldCharType="separate"/>
            </w:r>
            <w:r w:rsidR="004D5D70">
              <w:rPr>
                <w:webHidden/>
              </w:rPr>
              <w:t>2</w:t>
            </w:r>
            <w:r>
              <w:rPr>
                <w:webHidden/>
              </w:rPr>
              <w:fldChar w:fldCharType="end"/>
            </w:r>
          </w:hyperlink>
        </w:p>
        <w:p w14:paraId="7C5ADD74" w14:textId="1770833A" w:rsidR="00D82F62" w:rsidRDefault="005D50DE" w:rsidP="00C3767A">
          <w:pPr>
            <w:pStyle w:val="TOC2"/>
            <w:rPr>
              <w:rFonts w:eastAsiaTheme="minorEastAsia"/>
              <w:sz w:val="22"/>
              <w:szCs w:val="22"/>
              <w:lang w:eastAsia="en-AU"/>
            </w:rPr>
          </w:pPr>
          <w:hyperlink w:anchor="_Toc40782123" w:history="1">
            <w:r w:rsidR="00D82F62" w:rsidRPr="00221316">
              <w:rPr>
                <w:rStyle w:val="Hyperlink"/>
              </w:rPr>
              <w:t>Minister’s message</w:t>
            </w:r>
            <w:r w:rsidR="00D82F62">
              <w:rPr>
                <w:webHidden/>
              </w:rPr>
              <w:tab/>
            </w:r>
            <w:r w:rsidR="00D82F62">
              <w:rPr>
                <w:webHidden/>
              </w:rPr>
              <w:fldChar w:fldCharType="begin"/>
            </w:r>
            <w:r w:rsidR="00D82F62">
              <w:rPr>
                <w:webHidden/>
              </w:rPr>
              <w:instrText xml:space="preserve"> PAGEREF _Toc40782123 \h </w:instrText>
            </w:r>
            <w:r w:rsidR="00D82F62">
              <w:rPr>
                <w:webHidden/>
              </w:rPr>
            </w:r>
            <w:r w:rsidR="00D82F62">
              <w:rPr>
                <w:webHidden/>
              </w:rPr>
              <w:fldChar w:fldCharType="separate"/>
            </w:r>
            <w:r w:rsidR="004D5D70">
              <w:rPr>
                <w:webHidden/>
              </w:rPr>
              <w:t>4</w:t>
            </w:r>
            <w:r w:rsidR="00D82F62">
              <w:rPr>
                <w:webHidden/>
              </w:rPr>
              <w:fldChar w:fldCharType="end"/>
            </w:r>
          </w:hyperlink>
        </w:p>
        <w:p w14:paraId="44EEAC78" w14:textId="73A9492C" w:rsidR="00D82F62" w:rsidRDefault="005D50DE" w:rsidP="00C3767A">
          <w:pPr>
            <w:pStyle w:val="TOC2"/>
            <w:rPr>
              <w:rFonts w:eastAsiaTheme="minorEastAsia"/>
              <w:sz w:val="22"/>
              <w:szCs w:val="22"/>
              <w:lang w:eastAsia="en-AU"/>
            </w:rPr>
          </w:pPr>
          <w:hyperlink w:anchor="_Toc40782124" w:history="1">
            <w:r w:rsidR="00D82F62" w:rsidRPr="00221316">
              <w:rPr>
                <w:rStyle w:val="Hyperlink"/>
              </w:rPr>
              <w:t>A new State Plan</w:t>
            </w:r>
            <w:r w:rsidR="00D82F62">
              <w:rPr>
                <w:webHidden/>
              </w:rPr>
              <w:tab/>
            </w:r>
            <w:r w:rsidR="00D82F62">
              <w:rPr>
                <w:webHidden/>
              </w:rPr>
              <w:fldChar w:fldCharType="begin"/>
            </w:r>
            <w:r w:rsidR="00D82F62">
              <w:rPr>
                <w:webHidden/>
              </w:rPr>
              <w:instrText xml:space="preserve"> PAGEREF _Toc40782124 \h </w:instrText>
            </w:r>
            <w:r w:rsidR="00D82F62">
              <w:rPr>
                <w:webHidden/>
              </w:rPr>
            </w:r>
            <w:r w:rsidR="00D82F62">
              <w:rPr>
                <w:webHidden/>
              </w:rPr>
              <w:fldChar w:fldCharType="separate"/>
            </w:r>
            <w:r w:rsidR="004D5D70">
              <w:rPr>
                <w:webHidden/>
              </w:rPr>
              <w:t>5</w:t>
            </w:r>
            <w:r w:rsidR="00D82F62">
              <w:rPr>
                <w:webHidden/>
              </w:rPr>
              <w:fldChar w:fldCharType="end"/>
            </w:r>
          </w:hyperlink>
        </w:p>
        <w:p w14:paraId="135B3EDB" w14:textId="494D5F65" w:rsidR="00D82F62" w:rsidRDefault="005D50DE" w:rsidP="00D82F62">
          <w:pPr>
            <w:pStyle w:val="TOC3"/>
            <w:rPr>
              <w:rFonts w:eastAsiaTheme="minorEastAsia"/>
              <w:sz w:val="22"/>
              <w:szCs w:val="22"/>
              <w:lang w:eastAsia="en-AU"/>
            </w:rPr>
          </w:pPr>
          <w:hyperlink w:anchor="_Toc40782125" w:history="1">
            <w:r w:rsidR="00D82F62" w:rsidRPr="00221316">
              <w:rPr>
                <w:rStyle w:val="Hyperlink"/>
              </w:rPr>
              <w:t xml:space="preserve">Young people’s </w:t>
            </w:r>
            <w:r w:rsidR="00D82F62" w:rsidRPr="00D82F62">
              <w:rPr>
                <w:rStyle w:val="Hyperlink"/>
                <w:color w:val="auto"/>
                <w:u w:val="none"/>
              </w:rPr>
              <w:t>wellbeing</w:t>
            </w:r>
            <w:r w:rsidR="00D82F62">
              <w:rPr>
                <w:webHidden/>
              </w:rPr>
              <w:tab/>
            </w:r>
            <w:r w:rsidR="00D82F62">
              <w:rPr>
                <w:webHidden/>
              </w:rPr>
              <w:fldChar w:fldCharType="begin"/>
            </w:r>
            <w:r w:rsidR="00D82F62">
              <w:rPr>
                <w:webHidden/>
              </w:rPr>
              <w:instrText xml:space="preserve"> PAGEREF _Toc40782125 \h </w:instrText>
            </w:r>
            <w:r w:rsidR="00D82F62">
              <w:rPr>
                <w:webHidden/>
              </w:rPr>
            </w:r>
            <w:r w:rsidR="00D82F62">
              <w:rPr>
                <w:webHidden/>
              </w:rPr>
              <w:fldChar w:fldCharType="separate"/>
            </w:r>
            <w:r w:rsidR="004D5D70">
              <w:rPr>
                <w:webHidden/>
              </w:rPr>
              <w:t>10</w:t>
            </w:r>
            <w:r w:rsidR="00D82F62">
              <w:rPr>
                <w:webHidden/>
              </w:rPr>
              <w:fldChar w:fldCharType="end"/>
            </w:r>
          </w:hyperlink>
        </w:p>
        <w:p w14:paraId="2E870112" w14:textId="03E188BF" w:rsidR="00D82F62" w:rsidRDefault="005D50DE" w:rsidP="00D82F62">
          <w:pPr>
            <w:pStyle w:val="TOC3"/>
            <w:rPr>
              <w:rFonts w:eastAsiaTheme="minorEastAsia"/>
              <w:sz w:val="22"/>
              <w:szCs w:val="22"/>
              <w:lang w:eastAsia="en-AU"/>
            </w:rPr>
          </w:pPr>
          <w:hyperlink w:anchor="_Toc40782126" w:history="1">
            <w:r w:rsidR="00D82F62" w:rsidRPr="00221316">
              <w:rPr>
                <w:rStyle w:val="Hyperlink"/>
              </w:rPr>
              <w:t>Workforce stability and investment</w:t>
            </w:r>
            <w:r w:rsidR="00D82F62">
              <w:rPr>
                <w:webHidden/>
              </w:rPr>
              <w:tab/>
            </w:r>
            <w:r w:rsidR="00D82F62">
              <w:rPr>
                <w:webHidden/>
              </w:rPr>
              <w:fldChar w:fldCharType="begin"/>
            </w:r>
            <w:r w:rsidR="00D82F62">
              <w:rPr>
                <w:webHidden/>
              </w:rPr>
              <w:instrText xml:space="preserve"> PAGEREF _Toc40782126 \h </w:instrText>
            </w:r>
            <w:r w:rsidR="00D82F62">
              <w:rPr>
                <w:webHidden/>
              </w:rPr>
            </w:r>
            <w:r w:rsidR="00D82F62">
              <w:rPr>
                <w:webHidden/>
              </w:rPr>
              <w:fldChar w:fldCharType="separate"/>
            </w:r>
            <w:r w:rsidR="004D5D70">
              <w:rPr>
                <w:webHidden/>
              </w:rPr>
              <w:t>13</w:t>
            </w:r>
            <w:r w:rsidR="00D82F62">
              <w:rPr>
                <w:webHidden/>
              </w:rPr>
              <w:fldChar w:fldCharType="end"/>
            </w:r>
          </w:hyperlink>
        </w:p>
        <w:p w14:paraId="0C40DB25" w14:textId="70361AE2" w:rsidR="00D82F62" w:rsidRDefault="005D50DE" w:rsidP="00D82F62">
          <w:pPr>
            <w:pStyle w:val="TOC3"/>
            <w:rPr>
              <w:rFonts w:eastAsiaTheme="minorEastAsia"/>
              <w:sz w:val="22"/>
              <w:szCs w:val="22"/>
              <w:lang w:eastAsia="en-AU"/>
            </w:rPr>
          </w:pPr>
          <w:hyperlink w:anchor="_Toc40782127" w:history="1">
            <w:r w:rsidR="00D82F62" w:rsidRPr="00221316">
              <w:rPr>
                <w:rStyle w:val="Hyperlink"/>
              </w:rPr>
              <w:t>Connected services</w:t>
            </w:r>
            <w:r w:rsidR="00D82F62">
              <w:rPr>
                <w:webHidden/>
              </w:rPr>
              <w:tab/>
            </w:r>
            <w:r w:rsidR="00D82F62">
              <w:rPr>
                <w:webHidden/>
              </w:rPr>
              <w:fldChar w:fldCharType="begin"/>
            </w:r>
            <w:r w:rsidR="00D82F62">
              <w:rPr>
                <w:webHidden/>
              </w:rPr>
              <w:instrText xml:space="preserve"> PAGEREF _Toc40782127 \h </w:instrText>
            </w:r>
            <w:r w:rsidR="00D82F62">
              <w:rPr>
                <w:webHidden/>
              </w:rPr>
            </w:r>
            <w:r w:rsidR="00D82F62">
              <w:rPr>
                <w:webHidden/>
              </w:rPr>
              <w:fldChar w:fldCharType="separate"/>
            </w:r>
            <w:r w:rsidR="004D5D70">
              <w:rPr>
                <w:webHidden/>
              </w:rPr>
              <w:t>15</w:t>
            </w:r>
            <w:r w:rsidR="00D82F62">
              <w:rPr>
                <w:webHidden/>
              </w:rPr>
              <w:fldChar w:fldCharType="end"/>
            </w:r>
          </w:hyperlink>
        </w:p>
        <w:p w14:paraId="2F23D87C" w14:textId="352DB5FF" w:rsidR="00D82F62" w:rsidRDefault="005D50DE" w:rsidP="00D82F62">
          <w:pPr>
            <w:pStyle w:val="TOC3"/>
            <w:rPr>
              <w:rFonts w:eastAsiaTheme="minorEastAsia"/>
              <w:sz w:val="22"/>
              <w:szCs w:val="22"/>
              <w:lang w:eastAsia="en-AU"/>
            </w:rPr>
          </w:pPr>
          <w:hyperlink w:anchor="_Toc40782128" w:history="1">
            <w:r w:rsidR="00D82F62" w:rsidRPr="00221316">
              <w:rPr>
                <w:rStyle w:val="Hyperlink"/>
              </w:rPr>
              <w:t>Aboriginal cultural connection</w:t>
            </w:r>
            <w:r w:rsidR="00D82F62">
              <w:rPr>
                <w:webHidden/>
              </w:rPr>
              <w:tab/>
            </w:r>
            <w:r w:rsidR="00D82F62">
              <w:rPr>
                <w:webHidden/>
              </w:rPr>
              <w:fldChar w:fldCharType="begin"/>
            </w:r>
            <w:r w:rsidR="00D82F62">
              <w:rPr>
                <w:webHidden/>
              </w:rPr>
              <w:instrText xml:space="preserve"> PAGEREF _Toc40782128 \h </w:instrText>
            </w:r>
            <w:r w:rsidR="00D82F62">
              <w:rPr>
                <w:webHidden/>
              </w:rPr>
            </w:r>
            <w:r w:rsidR="00D82F62">
              <w:rPr>
                <w:webHidden/>
              </w:rPr>
              <w:fldChar w:fldCharType="separate"/>
            </w:r>
            <w:r w:rsidR="004D5D70">
              <w:rPr>
                <w:webHidden/>
              </w:rPr>
              <w:t>17</w:t>
            </w:r>
            <w:r w:rsidR="00D82F62">
              <w:rPr>
                <w:webHidden/>
              </w:rPr>
              <w:fldChar w:fldCharType="end"/>
            </w:r>
          </w:hyperlink>
        </w:p>
        <w:p w14:paraId="0D34CFD0" w14:textId="2890F013" w:rsidR="00D82F62" w:rsidRDefault="005D50DE" w:rsidP="00D82F62">
          <w:pPr>
            <w:pStyle w:val="TOC3"/>
            <w:rPr>
              <w:rFonts w:eastAsiaTheme="minorEastAsia"/>
              <w:sz w:val="22"/>
              <w:szCs w:val="22"/>
              <w:lang w:eastAsia="en-AU"/>
            </w:rPr>
          </w:pPr>
          <w:hyperlink w:anchor="_Toc40782129" w:history="1">
            <w:r w:rsidR="00D82F62" w:rsidRPr="00221316">
              <w:rPr>
                <w:rStyle w:val="Hyperlink"/>
              </w:rPr>
              <w:t>Reconnection with community</w:t>
            </w:r>
            <w:r w:rsidR="00D82F62">
              <w:rPr>
                <w:webHidden/>
              </w:rPr>
              <w:tab/>
            </w:r>
            <w:r w:rsidR="00D82F62">
              <w:rPr>
                <w:webHidden/>
              </w:rPr>
              <w:fldChar w:fldCharType="begin"/>
            </w:r>
            <w:r w:rsidR="00D82F62">
              <w:rPr>
                <w:webHidden/>
              </w:rPr>
              <w:instrText xml:space="preserve"> PAGEREF _Toc40782129 \h </w:instrText>
            </w:r>
            <w:r w:rsidR="00D82F62">
              <w:rPr>
                <w:webHidden/>
              </w:rPr>
            </w:r>
            <w:r w:rsidR="00D82F62">
              <w:rPr>
                <w:webHidden/>
              </w:rPr>
              <w:fldChar w:fldCharType="separate"/>
            </w:r>
            <w:r w:rsidR="004D5D70">
              <w:rPr>
                <w:webHidden/>
              </w:rPr>
              <w:t>21</w:t>
            </w:r>
            <w:r w:rsidR="00D82F62">
              <w:rPr>
                <w:webHidden/>
              </w:rPr>
              <w:fldChar w:fldCharType="end"/>
            </w:r>
          </w:hyperlink>
        </w:p>
        <w:p w14:paraId="3E150BF8" w14:textId="10862F09" w:rsidR="00D82F62" w:rsidRDefault="005D50DE" w:rsidP="00D82F62">
          <w:pPr>
            <w:pStyle w:val="TOC3"/>
            <w:rPr>
              <w:rFonts w:eastAsiaTheme="minorEastAsia"/>
              <w:sz w:val="22"/>
              <w:szCs w:val="22"/>
              <w:lang w:eastAsia="en-AU"/>
            </w:rPr>
          </w:pPr>
          <w:hyperlink w:anchor="_Toc40782130" w:history="1">
            <w:r w:rsidR="00D82F62" w:rsidRPr="00221316">
              <w:rPr>
                <w:rStyle w:val="Hyperlink"/>
              </w:rPr>
              <w:t>Business Intelligence</w:t>
            </w:r>
            <w:r w:rsidR="00D82F62">
              <w:rPr>
                <w:webHidden/>
              </w:rPr>
              <w:tab/>
            </w:r>
            <w:r w:rsidR="00D82F62">
              <w:rPr>
                <w:webHidden/>
              </w:rPr>
              <w:fldChar w:fldCharType="begin"/>
            </w:r>
            <w:r w:rsidR="00D82F62">
              <w:rPr>
                <w:webHidden/>
              </w:rPr>
              <w:instrText xml:space="preserve"> PAGEREF _Toc40782130 \h </w:instrText>
            </w:r>
            <w:r w:rsidR="00D82F62">
              <w:rPr>
                <w:webHidden/>
              </w:rPr>
            </w:r>
            <w:r w:rsidR="00D82F62">
              <w:rPr>
                <w:webHidden/>
              </w:rPr>
              <w:fldChar w:fldCharType="separate"/>
            </w:r>
            <w:r w:rsidR="004D5D70">
              <w:rPr>
                <w:webHidden/>
              </w:rPr>
              <w:t>23</w:t>
            </w:r>
            <w:r w:rsidR="00D82F62">
              <w:rPr>
                <w:webHidden/>
              </w:rPr>
              <w:fldChar w:fldCharType="end"/>
            </w:r>
          </w:hyperlink>
        </w:p>
        <w:p w14:paraId="487905C8" w14:textId="57B998B8" w:rsidR="00D82F62" w:rsidRDefault="005D50DE" w:rsidP="00C3767A">
          <w:pPr>
            <w:pStyle w:val="TOC2"/>
            <w:rPr>
              <w:rFonts w:eastAsiaTheme="minorEastAsia"/>
              <w:sz w:val="22"/>
              <w:szCs w:val="22"/>
              <w:lang w:eastAsia="en-AU"/>
            </w:rPr>
          </w:pPr>
          <w:hyperlink w:anchor="_Toc40782131" w:history="1">
            <w:r w:rsidR="00D82F62" w:rsidRPr="00221316">
              <w:rPr>
                <w:rStyle w:val="Hyperlink"/>
              </w:rPr>
              <w:t>Governance and accountability</w:t>
            </w:r>
            <w:r w:rsidR="00D82F62">
              <w:rPr>
                <w:webHidden/>
              </w:rPr>
              <w:tab/>
            </w:r>
            <w:r w:rsidR="00D82F62">
              <w:rPr>
                <w:webHidden/>
              </w:rPr>
              <w:fldChar w:fldCharType="begin"/>
            </w:r>
            <w:r w:rsidR="00D82F62">
              <w:rPr>
                <w:webHidden/>
              </w:rPr>
              <w:instrText xml:space="preserve"> PAGEREF _Toc40782131 \h </w:instrText>
            </w:r>
            <w:r w:rsidR="00D82F62">
              <w:rPr>
                <w:webHidden/>
              </w:rPr>
            </w:r>
            <w:r w:rsidR="00D82F62">
              <w:rPr>
                <w:webHidden/>
              </w:rPr>
              <w:fldChar w:fldCharType="separate"/>
            </w:r>
            <w:r w:rsidR="004D5D70">
              <w:rPr>
                <w:webHidden/>
              </w:rPr>
              <w:t>24</w:t>
            </w:r>
            <w:r w:rsidR="00D82F62">
              <w:rPr>
                <w:webHidden/>
              </w:rPr>
              <w:fldChar w:fldCharType="end"/>
            </w:r>
          </w:hyperlink>
        </w:p>
        <w:p w14:paraId="65DF9794" w14:textId="7B56B39C" w:rsidR="00D82F62" w:rsidRDefault="005D50DE" w:rsidP="00C3767A">
          <w:pPr>
            <w:pStyle w:val="TOC2"/>
            <w:rPr>
              <w:rFonts w:eastAsiaTheme="minorEastAsia"/>
              <w:sz w:val="22"/>
              <w:szCs w:val="22"/>
              <w:lang w:eastAsia="en-AU"/>
            </w:rPr>
          </w:pPr>
          <w:hyperlink w:anchor="_Toc40782132" w:history="1">
            <w:r w:rsidR="00D82F62" w:rsidRPr="00221316">
              <w:rPr>
                <w:rStyle w:val="Hyperlink"/>
              </w:rPr>
              <w:t>Delivery Plan</w:t>
            </w:r>
            <w:r w:rsidR="00D82F62">
              <w:rPr>
                <w:webHidden/>
              </w:rPr>
              <w:tab/>
            </w:r>
            <w:r w:rsidR="00D82F62">
              <w:rPr>
                <w:webHidden/>
              </w:rPr>
              <w:fldChar w:fldCharType="begin"/>
            </w:r>
            <w:r w:rsidR="00D82F62">
              <w:rPr>
                <w:webHidden/>
              </w:rPr>
              <w:instrText xml:space="preserve"> PAGEREF _Toc40782132 \h </w:instrText>
            </w:r>
            <w:r w:rsidR="00D82F62">
              <w:rPr>
                <w:webHidden/>
              </w:rPr>
            </w:r>
            <w:r w:rsidR="00D82F62">
              <w:rPr>
                <w:webHidden/>
              </w:rPr>
              <w:fldChar w:fldCharType="separate"/>
            </w:r>
            <w:r w:rsidR="004D5D70">
              <w:rPr>
                <w:webHidden/>
              </w:rPr>
              <w:t>26</w:t>
            </w:r>
            <w:r w:rsidR="00D82F62">
              <w:rPr>
                <w:webHidden/>
              </w:rPr>
              <w:fldChar w:fldCharType="end"/>
            </w:r>
          </w:hyperlink>
        </w:p>
        <w:p w14:paraId="4DC7055F" w14:textId="613DEE37" w:rsidR="00D82F62" w:rsidRDefault="005D50DE" w:rsidP="00C3767A">
          <w:pPr>
            <w:pStyle w:val="TOC2"/>
            <w:rPr>
              <w:rFonts w:eastAsiaTheme="minorEastAsia"/>
              <w:sz w:val="22"/>
              <w:szCs w:val="22"/>
              <w:lang w:eastAsia="en-AU"/>
            </w:rPr>
          </w:pPr>
          <w:hyperlink w:anchor="_Toc40782133" w:history="1">
            <w:r w:rsidR="00D82F62" w:rsidRPr="00221316">
              <w:rPr>
                <w:rStyle w:val="Hyperlink"/>
              </w:rPr>
              <w:t>Abbreviations</w:t>
            </w:r>
            <w:r w:rsidR="00D82F62">
              <w:rPr>
                <w:webHidden/>
              </w:rPr>
              <w:tab/>
            </w:r>
            <w:r w:rsidR="00D82F62">
              <w:rPr>
                <w:webHidden/>
              </w:rPr>
              <w:fldChar w:fldCharType="begin"/>
            </w:r>
            <w:r w:rsidR="00D82F62">
              <w:rPr>
                <w:webHidden/>
              </w:rPr>
              <w:instrText xml:space="preserve"> PAGEREF _Toc40782133 \h </w:instrText>
            </w:r>
            <w:r w:rsidR="00D82F62">
              <w:rPr>
                <w:webHidden/>
              </w:rPr>
            </w:r>
            <w:r w:rsidR="00D82F62">
              <w:rPr>
                <w:webHidden/>
              </w:rPr>
              <w:fldChar w:fldCharType="separate"/>
            </w:r>
            <w:r w:rsidR="004D5D70">
              <w:rPr>
                <w:webHidden/>
              </w:rPr>
              <w:t>35</w:t>
            </w:r>
            <w:r w:rsidR="00D82F62">
              <w:rPr>
                <w:webHidden/>
              </w:rPr>
              <w:fldChar w:fldCharType="end"/>
            </w:r>
          </w:hyperlink>
        </w:p>
        <w:p w14:paraId="6725E9F9" w14:textId="4250F0B4" w:rsidR="00D82F62" w:rsidRPr="00C3767A" w:rsidRDefault="005D50DE" w:rsidP="00C3767A">
          <w:pPr>
            <w:pStyle w:val="TOC2"/>
            <w:rPr>
              <w:rFonts w:eastAsiaTheme="minorEastAsia"/>
              <w:sz w:val="22"/>
              <w:szCs w:val="22"/>
              <w:lang w:eastAsia="en-AU"/>
            </w:rPr>
          </w:pPr>
          <w:hyperlink w:anchor="_Toc40782134" w:history="1">
            <w:r w:rsidR="00D82F62" w:rsidRPr="00C3767A">
              <w:rPr>
                <w:rStyle w:val="Hyperlink"/>
              </w:rPr>
              <w:t>Glossary</w:t>
            </w:r>
            <w:r w:rsidR="00D82F62" w:rsidRPr="00C3767A">
              <w:rPr>
                <w:webHidden/>
              </w:rPr>
              <w:tab/>
            </w:r>
            <w:r w:rsidR="00D82F62" w:rsidRPr="00C3767A">
              <w:rPr>
                <w:webHidden/>
              </w:rPr>
              <w:fldChar w:fldCharType="begin"/>
            </w:r>
            <w:r w:rsidR="00D82F62" w:rsidRPr="00C3767A">
              <w:rPr>
                <w:webHidden/>
              </w:rPr>
              <w:instrText xml:space="preserve"> PAGEREF _Toc40782134 \h </w:instrText>
            </w:r>
            <w:r w:rsidR="00D82F62" w:rsidRPr="00C3767A">
              <w:rPr>
                <w:webHidden/>
              </w:rPr>
            </w:r>
            <w:r w:rsidR="00D82F62" w:rsidRPr="00C3767A">
              <w:rPr>
                <w:webHidden/>
              </w:rPr>
              <w:fldChar w:fldCharType="separate"/>
            </w:r>
            <w:r w:rsidR="004D5D70">
              <w:rPr>
                <w:webHidden/>
              </w:rPr>
              <w:t>36</w:t>
            </w:r>
            <w:r w:rsidR="00D82F62" w:rsidRPr="00C3767A">
              <w:rPr>
                <w:webHidden/>
              </w:rPr>
              <w:fldChar w:fldCharType="end"/>
            </w:r>
          </w:hyperlink>
        </w:p>
        <w:p w14:paraId="2F4C906C" w14:textId="348DD4D7" w:rsidR="00BB2EF1" w:rsidRPr="00897185" w:rsidRDefault="00D82F62" w:rsidP="00D82F62">
          <w:pPr>
            <w:tabs>
              <w:tab w:val="right" w:pos="4962"/>
              <w:tab w:val="right" w:pos="5529"/>
            </w:tabs>
            <w:ind w:right="4784"/>
          </w:pPr>
          <w:r>
            <w:rPr>
              <w:color w:val="2B579A"/>
              <w:shd w:val="clear" w:color="auto" w:fill="E6E6E6"/>
            </w:rPr>
            <w:fldChar w:fldCharType="end"/>
          </w:r>
        </w:p>
      </w:sdtContent>
    </w:sdt>
    <w:p w14:paraId="49F26185" w14:textId="77777777" w:rsidR="00EF2C38" w:rsidRPr="00897185" w:rsidRDefault="00EF2C38" w:rsidP="00D82F62">
      <w:r w:rsidRPr="00897185">
        <w:br w:type="page"/>
      </w:r>
    </w:p>
    <w:p w14:paraId="5BFD3840" w14:textId="332C6A2F" w:rsidR="00EF2C38" w:rsidRPr="00450604" w:rsidRDefault="4EDA46C9" w:rsidP="00D82F62">
      <w:pPr>
        <w:pStyle w:val="Heading2"/>
      </w:pPr>
      <w:bookmarkStart w:id="5" w:name="_Toc40782123"/>
      <w:r w:rsidRPr="00450604">
        <w:lastRenderedPageBreak/>
        <w:t>Minister’s message</w:t>
      </w:r>
      <w:bookmarkEnd w:id="5"/>
    </w:p>
    <w:p w14:paraId="039E5377" w14:textId="000F1E3C" w:rsidR="6B7D22C0" w:rsidRPr="000C6B2F" w:rsidRDefault="4EDA46C9" w:rsidP="00D82F62">
      <w:pPr>
        <w:rPr>
          <w:rFonts w:eastAsia="Calibri"/>
        </w:rPr>
      </w:pPr>
      <w:r w:rsidRPr="000C6B2F">
        <w:t>South Australia’s</w:t>
      </w:r>
      <w:r w:rsidRPr="000C6B2F">
        <w:rPr>
          <w:i/>
          <w:iCs/>
        </w:rPr>
        <w:t xml:space="preserve"> Youth Justice State Plan 2020</w:t>
      </w:r>
      <w:r w:rsidR="00C3767A">
        <w:rPr>
          <w:i/>
          <w:iCs/>
        </w:rPr>
        <w:t>–</w:t>
      </w:r>
      <w:r w:rsidRPr="000C6B2F">
        <w:rPr>
          <w:i/>
          <w:iCs/>
        </w:rPr>
        <w:t>2023</w:t>
      </w:r>
      <w:r w:rsidRPr="000C6B2F">
        <w:t xml:space="preserve"> (the State Plan) introduces how we will work with young people</w:t>
      </w:r>
      <w:r w:rsidR="5E8596D0" w:rsidRPr="000C6B2F">
        <w:t>, communities, other government agencies and non-government organisations to</w:t>
      </w:r>
      <w:r w:rsidRPr="000C6B2F">
        <w:t xml:space="preserve"> deliver youth justice services.</w:t>
      </w:r>
      <w:r w:rsidRPr="000C6B2F">
        <w:rPr>
          <w:rFonts w:eastAsia="Calibri"/>
        </w:rPr>
        <w:t xml:space="preserve"> </w:t>
      </w:r>
      <w:r w:rsidR="00C54593" w:rsidRPr="00C54593">
        <w:rPr>
          <w:rFonts w:eastAsia="Calibri"/>
        </w:rPr>
        <w:t>This plan outlines actions th</w:t>
      </w:r>
      <w:r w:rsidR="00C94987">
        <w:rPr>
          <w:rFonts w:eastAsia="Calibri"/>
        </w:rPr>
        <w:t>is</w:t>
      </w:r>
      <w:r w:rsidR="00C54593" w:rsidRPr="00C54593">
        <w:rPr>
          <w:rFonts w:eastAsia="Calibri"/>
        </w:rPr>
        <w:t xml:space="preserve"> government is taking to provide high quality services in Youth Justice and through our partnerships to reduce offending</w:t>
      </w:r>
      <w:r w:rsidR="00F44A0E" w:rsidRPr="000C6B2F">
        <w:rPr>
          <w:rFonts w:eastAsia="Calibri"/>
        </w:rPr>
        <w:t>,</w:t>
      </w:r>
      <w:r w:rsidRPr="000C6B2F">
        <w:rPr>
          <w:rFonts w:eastAsia="Calibri"/>
        </w:rPr>
        <w:t xml:space="preserve"> support young people to make positive choices</w:t>
      </w:r>
      <w:r w:rsidR="00F44A0E" w:rsidRPr="000C6B2F">
        <w:rPr>
          <w:rFonts w:eastAsia="Calibri"/>
        </w:rPr>
        <w:t xml:space="preserve">, </w:t>
      </w:r>
      <w:r w:rsidR="5BD703DF" w:rsidRPr="000C6B2F">
        <w:rPr>
          <w:rFonts w:eastAsia="Calibri"/>
        </w:rPr>
        <w:t>reduce the over</w:t>
      </w:r>
      <w:r w:rsidR="00C94987">
        <w:rPr>
          <w:rFonts w:eastAsia="Calibri"/>
        </w:rPr>
        <w:t>-</w:t>
      </w:r>
      <w:r w:rsidR="5BD703DF" w:rsidRPr="000C6B2F">
        <w:rPr>
          <w:rFonts w:eastAsia="Calibri"/>
        </w:rPr>
        <w:t>representation of Aborigin</w:t>
      </w:r>
      <w:r w:rsidR="1782CF0F" w:rsidRPr="000C6B2F">
        <w:rPr>
          <w:rFonts w:eastAsia="Calibri"/>
        </w:rPr>
        <w:t>a</w:t>
      </w:r>
      <w:r w:rsidR="5BD703DF" w:rsidRPr="000C6B2F">
        <w:rPr>
          <w:rFonts w:eastAsia="Calibri"/>
        </w:rPr>
        <w:t xml:space="preserve">l children and young people, </w:t>
      </w:r>
      <w:r w:rsidR="00F44A0E" w:rsidRPr="000C6B2F">
        <w:rPr>
          <w:rFonts w:eastAsia="Calibri"/>
        </w:rPr>
        <w:t>recognise and support victims of crime</w:t>
      </w:r>
      <w:r w:rsidR="00C122F6" w:rsidRPr="000C6B2F">
        <w:rPr>
          <w:rFonts w:eastAsia="Calibri"/>
        </w:rPr>
        <w:t>, and at all times</w:t>
      </w:r>
      <w:r w:rsidR="00C94987">
        <w:rPr>
          <w:rFonts w:eastAsia="Calibri"/>
        </w:rPr>
        <w:t>,</w:t>
      </w:r>
      <w:r w:rsidR="00C122F6" w:rsidRPr="000C6B2F">
        <w:rPr>
          <w:rFonts w:eastAsia="Calibri"/>
        </w:rPr>
        <w:t xml:space="preserve"> consider the best interests and voices of vulnerable children and young people</w:t>
      </w:r>
      <w:r w:rsidR="00F44A0E" w:rsidRPr="000C6B2F">
        <w:rPr>
          <w:rFonts w:eastAsia="Calibri"/>
        </w:rPr>
        <w:t>.</w:t>
      </w:r>
    </w:p>
    <w:p w14:paraId="6FF51C77" w14:textId="4B01BC11" w:rsidR="6E81C3F7" w:rsidRPr="000C6B2F" w:rsidRDefault="4EDA46C9" w:rsidP="00D82F62">
      <w:r w:rsidRPr="000C6B2F">
        <w:t xml:space="preserve">We have an opportunity to learn from a mounting body of </w:t>
      </w:r>
      <w:r w:rsidR="005F683A" w:rsidRPr="000C6B2F">
        <w:t xml:space="preserve">state and national </w:t>
      </w:r>
      <w:r w:rsidRPr="000C6B2F">
        <w:t>evidence, and recent independent reviews, about sustainable ways to reduce criminal offending and help young people reconnect with their families, communities and culture. Addressing this challenge requires a sector-wide approach.</w:t>
      </w:r>
    </w:p>
    <w:p w14:paraId="79B01040" w14:textId="346F5E25" w:rsidR="6E81C3F7" w:rsidRPr="000C6B2F" w:rsidRDefault="4EDA46C9" w:rsidP="00D82F62">
      <w:r w:rsidRPr="000C6B2F">
        <w:t>The State Plan sets out six key themes that have been informed through wide community-based consultation. To support our commitment to shared values under these themes, the actions in this State Plan will see the Department of Human Services (DHS) work with partner agencies to produce real change in:</w:t>
      </w:r>
    </w:p>
    <w:p w14:paraId="115556E2" w14:textId="7989EB3F" w:rsidR="47F79402" w:rsidRPr="0077766B" w:rsidRDefault="6E1BBF64" w:rsidP="0077766B">
      <w:pPr>
        <w:pStyle w:val="Bullet-Numbered-Italic"/>
      </w:pPr>
      <w:r w:rsidRPr="0077766B">
        <w:t>Young people’s</w:t>
      </w:r>
      <w:r w:rsidRPr="008A159A">
        <w:t xml:space="preserve"> wellbeing</w:t>
      </w:r>
    </w:p>
    <w:p w14:paraId="0978F6B7" w14:textId="0FA0FAFF" w:rsidR="00C34D6B" w:rsidRPr="008A159A" w:rsidRDefault="00C34D6B" w:rsidP="0077766B">
      <w:pPr>
        <w:pStyle w:val="Bullet-Numbered-Italic"/>
      </w:pPr>
      <w:r w:rsidRPr="008A159A">
        <w:t>Workforce stability and investment</w:t>
      </w:r>
    </w:p>
    <w:p w14:paraId="05647B9D" w14:textId="77777777" w:rsidR="00805DC6" w:rsidRPr="008A159A" w:rsidRDefault="00805DC6" w:rsidP="0077766B">
      <w:pPr>
        <w:pStyle w:val="Bullet-Numbered-Italic"/>
      </w:pPr>
      <w:r w:rsidRPr="008A159A">
        <w:t xml:space="preserve">Connected services </w:t>
      </w:r>
    </w:p>
    <w:p w14:paraId="5A7EF586" w14:textId="77777777" w:rsidR="00C34D6B" w:rsidRPr="0077766B" w:rsidRDefault="00C34D6B" w:rsidP="0077766B">
      <w:pPr>
        <w:pStyle w:val="Bullet-Numbered-Italic"/>
      </w:pPr>
      <w:r w:rsidRPr="008A159A">
        <w:t>Aboriginal cultural connection</w:t>
      </w:r>
    </w:p>
    <w:p w14:paraId="504E822D" w14:textId="134D5232" w:rsidR="6E81C3F7" w:rsidRPr="008A159A" w:rsidRDefault="2E72C720" w:rsidP="0077766B">
      <w:pPr>
        <w:pStyle w:val="Bullet-Numbered-Italic"/>
      </w:pPr>
      <w:r w:rsidRPr="008A159A">
        <w:t xml:space="preserve">Reconnection with community </w:t>
      </w:r>
    </w:p>
    <w:p w14:paraId="1DF1478B" w14:textId="5012139E" w:rsidR="6E81C3F7" w:rsidRPr="008A159A" w:rsidRDefault="2E72C720" w:rsidP="0077766B">
      <w:pPr>
        <w:pStyle w:val="Bullet-Numbered-Italic"/>
      </w:pPr>
      <w:r w:rsidRPr="008A159A">
        <w:t>Business intelligence</w:t>
      </w:r>
    </w:p>
    <w:p w14:paraId="5E7612C9" w14:textId="7E205AA0" w:rsidR="6E81C3F7" w:rsidRPr="000C6B2F" w:rsidRDefault="4EDA46C9" w:rsidP="00D82F62">
      <w:r w:rsidRPr="000C6B2F">
        <w:t>The State Government is committed to reform in youth justice services by:</w:t>
      </w:r>
    </w:p>
    <w:p w14:paraId="3DC89DB7" w14:textId="27257814" w:rsidR="008A46F0" w:rsidRPr="0077766B" w:rsidRDefault="6049477D" w:rsidP="008A159A">
      <w:pPr>
        <w:pStyle w:val="Bullet-Minister"/>
      </w:pPr>
      <w:r w:rsidRPr="0077766B">
        <w:t>Ceasing the use of resident</w:t>
      </w:r>
      <w:r w:rsidR="00C3767A" w:rsidRPr="0077766B">
        <w:t>-</w:t>
      </w:r>
      <w:r w:rsidRPr="0077766B">
        <w:t>worn spit protection by June 2020</w:t>
      </w:r>
    </w:p>
    <w:p w14:paraId="47AD0C9D" w14:textId="7270CB39" w:rsidR="6E81C3F7" w:rsidRPr="0077766B" w:rsidRDefault="6049477D" w:rsidP="008A159A">
      <w:pPr>
        <w:pStyle w:val="Bullet-Minister"/>
      </w:pPr>
      <w:r w:rsidRPr="0077766B">
        <w:t>Implementing an electronic record keeping system by June 2020</w:t>
      </w:r>
    </w:p>
    <w:p w14:paraId="515C6D18" w14:textId="39B45AD8" w:rsidR="6E81C3F7" w:rsidRPr="0077766B" w:rsidRDefault="70F8B104" w:rsidP="008A159A">
      <w:pPr>
        <w:pStyle w:val="Bullet-Minister"/>
      </w:pPr>
      <w:r w:rsidRPr="0077766B">
        <w:t>Review</w:t>
      </w:r>
      <w:r w:rsidR="00A511BD" w:rsidRPr="0077766B">
        <w:t>ing</w:t>
      </w:r>
      <w:r w:rsidRPr="0077766B">
        <w:t xml:space="preserve"> legislation, policy and procedure in relation to the use of isolation, segregation and force at </w:t>
      </w:r>
      <w:r w:rsidR="47F79402" w:rsidRPr="0077766B">
        <w:t xml:space="preserve">the </w:t>
      </w:r>
      <w:r w:rsidR="00805DC6" w:rsidRPr="0077766B">
        <w:t>Kurlana Tapa Youth Justice Centre</w:t>
      </w:r>
      <w:r w:rsidR="00CB0789">
        <w:t xml:space="preserve"> </w:t>
      </w:r>
    </w:p>
    <w:p w14:paraId="7C6E24A3" w14:textId="53F3C3FE" w:rsidR="6049477D" w:rsidRPr="0077766B" w:rsidRDefault="00C34D6B" w:rsidP="008A159A">
      <w:pPr>
        <w:pStyle w:val="Bullet-Minister"/>
      </w:pPr>
      <w:r w:rsidRPr="0077766B">
        <w:t>Strengthening</w:t>
      </w:r>
      <w:r w:rsidR="70F8B104" w:rsidRPr="0077766B">
        <w:t xml:space="preserve"> multi-disciplinary allied health assessment and intervention services to ensure young people with complex needs are supported</w:t>
      </w:r>
    </w:p>
    <w:p w14:paraId="06DDC1F1" w14:textId="77777777" w:rsidR="00805DC6" w:rsidRPr="0077766B" w:rsidRDefault="4EDA46C9" w:rsidP="008A159A">
      <w:pPr>
        <w:pStyle w:val="Bullet-Minister"/>
      </w:pPr>
      <w:r w:rsidRPr="0077766B">
        <w:t>Prioritising Aboriginal staff recruitment and retention</w:t>
      </w:r>
      <w:r w:rsidR="00805DC6" w:rsidRPr="0077766B">
        <w:t xml:space="preserve"> </w:t>
      </w:r>
    </w:p>
    <w:p w14:paraId="76D39569" w14:textId="3680D0F9" w:rsidR="6049477D" w:rsidRPr="0077766B" w:rsidRDefault="00805DC6" w:rsidP="008A159A">
      <w:pPr>
        <w:pStyle w:val="Bullet-Minister"/>
      </w:pPr>
      <w:r w:rsidRPr="0077766B">
        <w:t>A trial of body-worn cameras to improve safety for young people and staff</w:t>
      </w:r>
      <w:r w:rsidR="4EDA46C9" w:rsidRPr="0077766B">
        <w:t>.</w:t>
      </w:r>
    </w:p>
    <w:p w14:paraId="2FAB941E" w14:textId="500ADB6B" w:rsidR="6E81C3F7" w:rsidRDefault="00740B1E" w:rsidP="00D82F62">
      <w:r w:rsidRPr="00740B1E">
        <w:t>On behalf of the State Government, I thank everyone who contributed to the development of the State Plan and the sector’s ongoing partnership</w:t>
      </w:r>
      <w:r w:rsidR="4EDA46C9" w:rsidRPr="000C6B2F">
        <w:t>. Together we are driving change toward a contemporary, efficient and effective system which delivers positive, connected and culturally appropriate services and outcomes</w:t>
      </w:r>
      <w:r w:rsidR="00414DBB" w:rsidRPr="000C6B2F">
        <w:t xml:space="preserve"> for </w:t>
      </w:r>
      <w:r w:rsidR="00C73F87" w:rsidRPr="000C6B2F">
        <w:t xml:space="preserve">children and </w:t>
      </w:r>
      <w:r w:rsidR="00414DBB" w:rsidRPr="000C6B2F">
        <w:t>young people</w:t>
      </w:r>
      <w:r w:rsidR="4EDA46C9" w:rsidRPr="000C6B2F">
        <w:t>.</w:t>
      </w:r>
    </w:p>
    <w:p w14:paraId="6BA8C70A" w14:textId="52784989" w:rsidR="005E402B" w:rsidRPr="000C6B2F" w:rsidRDefault="00C92E50" w:rsidP="00D82F62">
      <w:r w:rsidRPr="00C92E50">
        <w:rPr>
          <w:b/>
          <w:bCs/>
        </w:rPr>
        <w:t xml:space="preserve">Michelle </w:t>
      </w:r>
      <w:proofErr w:type="spellStart"/>
      <w:r w:rsidRPr="00C92E50">
        <w:rPr>
          <w:b/>
          <w:bCs/>
        </w:rPr>
        <w:t>Lensink</w:t>
      </w:r>
      <w:proofErr w:type="spellEnd"/>
      <w:r w:rsidRPr="00C92E50">
        <w:rPr>
          <w:b/>
          <w:bCs/>
        </w:rPr>
        <w:t xml:space="preserve"> MLC</w:t>
      </w:r>
      <w:r>
        <w:br/>
        <w:t>Minister for Human Services</w:t>
      </w:r>
    </w:p>
    <w:p w14:paraId="2D257A41" w14:textId="10E7E6D4" w:rsidR="00EF2C38" w:rsidRPr="009851F2" w:rsidRDefault="4EDA46C9" w:rsidP="00D82F62">
      <w:pPr>
        <w:pStyle w:val="Heading2"/>
      </w:pPr>
      <w:bookmarkStart w:id="6" w:name="_Toc40782124"/>
      <w:r w:rsidRPr="009851F2">
        <w:lastRenderedPageBreak/>
        <w:t>A new State Plan</w:t>
      </w:r>
      <w:bookmarkEnd w:id="6"/>
    </w:p>
    <w:p w14:paraId="613F4C9F" w14:textId="7F648712" w:rsidR="00D51FFF" w:rsidRPr="00E25BCE" w:rsidRDefault="4EDA46C9" w:rsidP="00D82F62">
      <w:r w:rsidRPr="00E25BCE">
        <w:t>This State Plan sets out practical steps to deliver positive change in how the state’s tertiary justice system</w:t>
      </w:r>
      <w:r w:rsidR="00B2756B" w:rsidRPr="00E25BCE">
        <w:rPr>
          <w:rStyle w:val="FootnoteReference"/>
        </w:rPr>
        <w:footnoteReference w:id="2"/>
      </w:r>
      <w:r w:rsidRPr="00E25BCE">
        <w:t xml:space="preserve"> responses operate for young people. Our shared vision is for connected services and systems which support young people to achieve better life outcomes while maintaining community safety and standards.</w:t>
      </w:r>
    </w:p>
    <w:p w14:paraId="3871428B" w14:textId="19BEE110" w:rsidR="00D51FFF" w:rsidRPr="00E25BCE" w:rsidRDefault="4EDA46C9" w:rsidP="00D82F62">
      <w:r w:rsidRPr="00E25BCE">
        <w:t>While this plan centre</w:t>
      </w:r>
      <w:r w:rsidR="0002315B" w:rsidRPr="00E25BCE">
        <w:t>s</w:t>
      </w:r>
      <w:r w:rsidRPr="00E25BCE">
        <w:t xml:space="preserve"> around supports for</w:t>
      </w:r>
      <w:r w:rsidR="00C73F87">
        <w:t xml:space="preserve"> children and</w:t>
      </w:r>
      <w:r w:rsidRPr="00E25BCE">
        <w:t xml:space="preserve"> young people and assisting their positive connection with community, we acknowledge the impact of offending on the victims of crime. We know from the evidence that a child-centred approach is required to reduce criminal offending, repair the harm caused to the community, and maintain community confidence and support</w:t>
      </w:r>
      <w:r w:rsidR="005E402B" w:rsidRPr="00E25BCE">
        <w:rPr>
          <w:rStyle w:val="FootnoteReference"/>
        </w:rPr>
        <w:footnoteReference w:id="3"/>
      </w:r>
      <w:r w:rsidRPr="00E25BCE">
        <w:t>.</w:t>
      </w:r>
    </w:p>
    <w:p w14:paraId="6B28BC79" w14:textId="086536BF" w:rsidR="00D51FFF" w:rsidRPr="00E25BCE" w:rsidRDefault="4EDA46C9" w:rsidP="00D82F62">
      <w:r w:rsidRPr="00E25BCE">
        <w:t xml:space="preserve">A youth justice system recognises that </w:t>
      </w:r>
      <w:r w:rsidR="00C73F87">
        <w:t xml:space="preserve">children and </w:t>
      </w:r>
      <w:r w:rsidRPr="00E25BCE">
        <w:t>young people are different from adults, particularly in their development and their capacity to understand and navigate the legal system.</w:t>
      </w:r>
      <w:r w:rsidR="008A159A">
        <w:t xml:space="preserve"> </w:t>
      </w:r>
      <w:r w:rsidRPr="00E25BCE">
        <w:t xml:space="preserve">The principles of a youth justice system are to deter individuals from committing acts against the law or reoffending, whilst </w:t>
      </w:r>
      <w:proofErr w:type="gramStart"/>
      <w:r w:rsidRPr="00E25BCE">
        <w:t>taking into account</w:t>
      </w:r>
      <w:proofErr w:type="gramEnd"/>
      <w:r w:rsidRPr="00E25BCE">
        <w:t xml:space="preserve"> the age, development and specific vulnerabilities of the individual.</w:t>
      </w:r>
      <w:r w:rsidR="008A159A">
        <w:t xml:space="preserve"> </w:t>
      </w:r>
    </w:p>
    <w:p w14:paraId="71B0E9AD" w14:textId="52B631F5" w:rsidR="006221D2" w:rsidRPr="00E25BCE" w:rsidRDefault="78C73D06" w:rsidP="00D82F62">
      <w:r w:rsidRPr="00E25BCE">
        <w:t xml:space="preserve">The safety and wellbeing of children and young people must be at the centre </w:t>
      </w:r>
      <w:r w:rsidR="006221D2" w:rsidRPr="00E25BCE">
        <w:t xml:space="preserve">of all decision-making in the youth justice system. </w:t>
      </w:r>
      <w:r w:rsidR="00CB2F4F" w:rsidRPr="00E25BCE">
        <w:t xml:space="preserve">Service delivery, supports, and restitution </w:t>
      </w:r>
      <w:proofErr w:type="gramStart"/>
      <w:r w:rsidR="00CB2F4F" w:rsidRPr="00E25BCE">
        <w:t>must at all times</w:t>
      </w:r>
      <w:proofErr w:type="gramEnd"/>
      <w:r w:rsidR="00CB2F4F" w:rsidRPr="00E25BCE">
        <w:t xml:space="preserve"> be cognisant of, and ensure, the rights of vulnerable children and young people.</w:t>
      </w:r>
      <w:r w:rsidR="00CB2F4F" w:rsidRPr="00E25BCE">
        <w:rPr>
          <w:rStyle w:val="FootnoteReference"/>
          <w:rFonts w:ascii="Calibri" w:eastAsia="Calibri" w:hAnsi="Calibri" w:cs="Calibri"/>
        </w:rPr>
        <w:footnoteReference w:id="4"/>
      </w:r>
    </w:p>
    <w:p w14:paraId="2A9BFB10" w14:textId="77777777" w:rsidR="00357C08" w:rsidRDefault="00357C08">
      <w:pPr>
        <w:spacing w:before="0"/>
        <w:rPr>
          <w:rFonts w:ascii="Calibri" w:eastAsiaTheme="majorEastAsia" w:hAnsi="Calibri" w:cs="Calibri"/>
          <w:b/>
          <w:bCs/>
          <w:noProof/>
          <w:color w:val="1F3763" w:themeColor="accent1" w:themeShade="7F"/>
          <w:sz w:val="32"/>
          <w:szCs w:val="32"/>
          <w:lang w:eastAsia="en-AU"/>
        </w:rPr>
      </w:pPr>
      <w:r>
        <w:rPr>
          <w:noProof/>
          <w:lang w:eastAsia="en-AU"/>
        </w:rPr>
        <w:br w:type="page"/>
      </w:r>
    </w:p>
    <w:p w14:paraId="1C8B734B" w14:textId="2F610F7C" w:rsidR="00357C08" w:rsidRPr="00357C08" w:rsidRDefault="00357C08" w:rsidP="00357C08">
      <w:pPr>
        <w:pStyle w:val="Heading3"/>
        <w:rPr>
          <w:noProof/>
          <w:lang w:eastAsia="en-AU"/>
        </w:rPr>
      </w:pPr>
      <w:r>
        <w:rPr>
          <w:noProof/>
          <w:lang w:eastAsia="en-AU"/>
        </w:rPr>
        <w:lastRenderedPageBreak/>
        <w:t xml:space="preserve">Fig 1: </w:t>
      </w:r>
      <w:r w:rsidRPr="00357C08">
        <w:rPr>
          <w:noProof/>
          <w:lang w:eastAsia="en-AU"/>
        </w:rPr>
        <w:t>Young people under supervision on an average day, by age and sex, South Australia, 201</w:t>
      </w:r>
      <w:r w:rsidR="00C94987">
        <w:rPr>
          <w:noProof/>
          <w:lang w:eastAsia="en-AU"/>
        </w:rPr>
        <w:t>8–19</w:t>
      </w:r>
    </w:p>
    <w:p w14:paraId="4BD91FA0" w14:textId="04668684" w:rsidR="00C83B79" w:rsidRDefault="00C07005" w:rsidP="00D82F62">
      <w:pPr>
        <w:rPr>
          <w:noProof/>
          <w:lang w:eastAsia="en-AU"/>
        </w:rPr>
      </w:pPr>
      <w:r>
        <w:rPr>
          <w:noProof/>
          <w:lang w:eastAsia="en-AU"/>
        </w:rPr>
        <w:drawing>
          <wp:inline distT="0" distB="0" distL="0" distR="0" wp14:anchorId="6C4317F8" wp14:editId="42A3EA77">
            <wp:extent cx="3239770" cy="1966775"/>
            <wp:effectExtent l="0" t="0" r="0" b="0"/>
            <wp:docPr id="3" name="Picture 3" descr="This bar graph shows the number of young people under supervision on an average day, by age and sex, South Australia, 2018 to 2019. Males aged 11 to 18+ outnumber females of the same age, often by several times. The figures for young people of either sex under the age of 13 is low. The highest figures for both sexes are between the ages of 15 and 17. The figures for females remain low (under 20) for all ages. The figures for males rise sharply at age 14 (nearly 40) and again at 15 and 16 (nearly 60), before reducing slightly at ages 17 and 18+ (around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young-people.png"/>
                    <pic:cNvPicPr/>
                  </pic:nvPicPr>
                  <pic:blipFill rotWithShape="1">
                    <a:blip r:embed="rId11">
                      <a:extLst>
                        <a:ext uri="{28A0092B-C50C-407E-A947-70E740481C1C}">
                          <a14:useLocalDpi xmlns:a14="http://schemas.microsoft.com/office/drawing/2010/main" val="0"/>
                        </a:ext>
                      </a:extLst>
                    </a:blip>
                    <a:srcRect t="18575"/>
                    <a:stretch/>
                  </pic:blipFill>
                  <pic:spPr bwMode="auto">
                    <a:xfrm>
                      <a:off x="0" y="0"/>
                      <a:ext cx="3240000" cy="1966915"/>
                    </a:xfrm>
                    <a:prstGeom prst="rect">
                      <a:avLst/>
                    </a:prstGeom>
                    <a:ln>
                      <a:noFill/>
                    </a:ln>
                    <a:extLst>
                      <a:ext uri="{53640926-AAD7-44D8-BBD7-CCE9431645EC}">
                        <a14:shadowObscured xmlns:a14="http://schemas.microsoft.com/office/drawing/2010/main"/>
                      </a:ext>
                    </a:extLst>
                  </pic:spPr>
                </pic:pic>
              </a:graphicData>
            </a:graphic>
          </wp:inline>
        </w:drawing>
      </w:r>
    </w:p>
    <w:p w14:paraId="5602F412" w14:textId="3CFB5D7E" w:rsidR="00832AA5" w:rsidRDefault="00F75ED1" w:rsidP="00C07005">
      <w:pPr>
        <w:spacing w:after="320"/>
        <w:rPr>
          <w:i/>
        </w:rPr>
      </w:pPr>
      <w:r>
        <w:rPr>
          <w:noProof/>
          <w:lang w:eastAsia="en-AU"/>
        </w:rPr>
        <w:t xml:space="preserve">Source: </w:t>
      </w:r>
      <w:r w:rsidR="00832AA5" w:rsidRPr="008A159A">
        <w:rPr>
          <w:i/>
        </w:rPr>
        <w:t>AIHW Youth Justice National Minimum Dataset (YJ NMDS) 2000-01 to 2018-19</w:t>
      </w:r>
    </w:p>
    <w:p w14:paraId="123E8BF5" w14:textId="207D3BF3" w:rsidR="00357C08" w:rsidRPr="00C94987" w:rsidRDefault="00357C08" w:rsidP="00357C08">
      <w:pPr>
        <w:pStyle w:val="Heading3"/>
      </w:pPr>
      <w:r w:rsidRPr="00C94987">
        <w:rPr>
          <w:noProof/>
          <w:lang w:eastAsia="en-AU"/>
        </w:rPr>
        <w:t xml:space="preserve">Fig 2: </w:t>
      </w:r>
      <w:r w:rsidR="00C94987" w:rsidRPr="00C94987">
        <w:t>Aboriginal young people under supervision in S</w:t>
      </w:r>
      <w:r w:rsidR="004D4E6E">
        <w:t>A</w:t>
      </w:r>
      <w:r w:rsidR="00C94987" w:rsidRPr="00C94987">
        <w:t>, 2018</w:t>
      </w:r>
      <w:r w:rsidR="00A65578">
        <w:t>–</w:t>
      </w:r>
      <w:r w:rsidR="00C94987" w:rsidRPr="00C94987">
        <w:t>19</w:t>
      </w:r>
    </w:p>
    <w:p w14:paraId="3949107C" w14:textId="1ED32C29" w:rsidR="00C07005" w:rsidRDefault="004D4E6E" w:rsidP="00D82F62">
      <w:pPr>
        <w:rPr>
          <w:rFonts w:ascii="Calibri" w:eastAsia="Calibri" w:hAnsi="Calibri" w:cs="Calibri"/>
        </w:rPr>
      </w:pPr>
      <w:r>
        <w:rPr>
          <w:rFonts w:ascii="Calibri" w:eastAsia="Calibri" w:hAnsi="Calibri" w:cs="Calibri"/>
          <w:noProof/>
        </w:rPr>
        <w:drawing>
          <wp:inline distT="0" distB="0" distL="0" distR="0" wp14:anchorId="2651E947" wp14:editId="2E8B27FF">
            <wp:extent cx="3240000" cy="2430000"/>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aboriginal-young-people.png"/>
                    <pic:cNvPicPr/>
                  </pic:nvPicPr>
                  <pic:blipFill>
                    <a:blip r:embed="rId12">
                      <a:extLst>
                        <a:ext uri="{28A0092B-C50C-407E-A947-70E740481C1C}">
                          <a14:useLocalDpi xmlns:a14="http://schemas.microsoft.com/office/drawing/2010/main" val="0"/>
                        </a:ext>
                      </a:extLst>
                    </a:blip>
                    <a:stretch>
                      <a:fillRect/>
                    </a:stretch>
                  </pic:blipFill>
                  <pic:spPr>
                    <a:xfrm>
                      <a:off x="0" y="0"/>
                      <a:ext cx="3240000" cy="2430000"/>
                    </a:xfrm>
                    <a:prstGeom prst="rect">
                      <a:avLst/>
                    </a:prstGeom>
                  </pic:spPr>
                </pic:pic>
              </a:graphicData>
            </a:graphic>
          </wp:inline>
        </w:drawing>
      </w:r>
    </w:p>
    <w:p w14:paraId="7D92AF85" w14:textId="6DB00762" w:rsidR="00F75ED1" w:rsidRDefault="00F75ED1" w:rsidP="00C07005">
      <w:pPr>
        <w:spacing w:after="320"/>
        <w:rPr>
          <w:i/>
          <w:iCs/>
        </w:rPr>
      </w:pPr>
      <w:r>
        <w:rPr>
          <w:i/>
          <w:iCs/>
        </w:rPr>
        <w:t xml:space="preserve">Source: </w:t>
      </w:r>
      <w:r w:rsidRPr="00F75ED1">
        <w:rPr>
          <w:i/>
          <w:iCs/>
        </w:rPr>
        <w:t xml:space="preserve">AIHW </w:t>
      </w:r>
      <w:r w:rsidR="00832AA5">
        <w:rPr>
          <w:i/>
          <w:iCs/>
        </w:rPr>
        <w:t>Youth</w:t>
      </w:r>
      <w:r w:rsidR="00832AA5" w:rsidRPr="00F75ED1">
        <w:rPr>
          <w:i/>
          <w:iCs/>
        </w:rPr>
        <w:t xml:space="preserve"> </w:t>
      </w:r>
      <w:r w:rsidRPr="00F75ED1">
        <w:rPr>
          <w:i/>
          <w:iCs/>
        </w:rPr>
        <w:t>Justice National Minimum Dataset (</w:t>
      </w:r>
      <w:r w:rsidR="00832AA5">
        <w:rPr>
          <w:i/>
          <w:iCs/>
        </w:rPr>
        <w:t>Y</w:t>
      </w:r>
      <w:r w:rsidRPr="00F75ED1">
        <w:rPr>
          <w:i/>
          <w:iCs/>
        </w:rPr>
        <w:t>J NMDS) 2000–01 to 201</w:t>
      </w:r>
      <w:r>
        <w:rPr>
          <w:i/>
          <w:iCs/>
        </w:rPr>
        <w:t>8</w:t>
      </w:r>
      <w:r w:rsidRPr="00F75ED1">
        <w:rPr>
          <w:i/>
          <w:iCs/>
        </w:rPr>
        <w:t>–1</w:t>
      </w:r>
      <w:r>
        <w:rPr>
          <w:i/>
          <w:iCs/>
        </w:rPr>
        <w:t>9</w:t>
      </w:r>
    </w:p>
    <w:p w14:paraId="6D4A8CA2" w14:textId="37DE56EF" w:rsidR="006221D2" w:rsidRPr="001A2CE1" w:rsidRDefault="4EDA46C9" w:rsidP="00D82F62">
      <w:pPr>
        <w:rPr>
          <w:rFonts w:cstheme="minorHAnsi"/>
        </w:rPr>
      </w:pPr>
      <w:r w:rsidRPr="00E25BCE">
        <w:t xml:space="preserve">A </w:t>
      </w:r>
      <w:r w:rsidR="00C73F87">
        <w:t xml:space="preserve">child or </w:t>
      </w:r>
      <w:r w:rsidRPr="00E25BCE">
        <w:t xml:space="preserve">young person who is guilty of an offence </w:t>
      </w:r>
      <w:r w:rsidR="00EC7515">
        <w:t>must</w:t>
      </w:r>
      <w:r w:rsidRPr="00E25BCE">
        <w:t xml:space="preserve"> </w:t>
      </w:r>
      <w:r w:rsidR="007A41EC">
        <w:t xml:space="preserve">be </w:t>
      </w:r>
      <w:r w:rsidRPr="00E25BCE">
        <w:t>provided w</w:t>
      </w:r>
      <w:bookmarkStart w:id="8" w:name="_GoBack"/>
      <w:bookmarkEnd w:id="8"/>
      <w:r w:rsidRPr="00E25BCE">
        <w:t xml:space="preserve">ith the opportunity to make restitution and learn from their mistakes in ways that promote their development and full </w:t>
      </w:r>
      <w:r w:rsidRPr="001A2CE1">
        <w:t>potential</w:t>
      </w:r>
      <w:r w:rsidRPr="001A2CE1">
        <w:rPr>
          <w:rFonts w:cstheme="minorHAnsi"/>
        </w:rPr>
        <w:t xml:space="preserve">. </w:t>
      </w:r>
      <w:r w:rsidR="00B2756B" w:rsidRPr="001A2CE1">
        <w:rPr>
          <w:rFonts w:cstheme="minorHAnsi"/>
        </w:rPr>
        <w:t>S</w:t>
      </w:r>
      <w:r w:rsidRPr="001A2CE1">
        <w:rPr>
          <w:rFonts w:cstheme="minorHAnsi"/>
        </w:rPr>
        <w:t xml:space="preserve">ervice responses also recognise that a small number of </w:t>
      </w:r>
      <w:r w:rsidR="00C73F87" w:rsidRPr="001A2CE1">
        <w:rPr>
          <w:rFonts w:cstheme="minorHAnsi"/>
        </w:rPr>
        <w:t xml:space="preserve">children and </w:t>
      </w:r>
      <w:r w:rsidRPr="001A2CE1">
        <w:rPr>
          <w:rFonts w:cstheme="minorHAnsi"/>
        </w:rPr>
        <w:t>young people commit serious acts of harm and need to make restitution under appropriate legislated measures</w:t>
      </w:r>
      <w:r w:rsidR="00B2756B" w:rsidRPr="001A2CE1">
        <w:rPr>
          <w:rFonts w:cstheme="minorHAnsi"/>
        </w:rPr>
        <w:t xml:space="preserve"> and with a matched rehabilitative response</w:t>
      </w:r>
      <w:r w:rsidR="23D67074" w:rsidRPr="001A2CE1">
        <w:rPr>
          <w:rFonts w:cstheme="minorHAnsi"/>
        </w:rPr>
        <w:t xml:space="preserve"> that includes promoting and actioning the principles </w:t>
      </w:r>
      <w:r w:rsidR="27057D1A" w:rsidRPr="001A2CE1">
        <w:rPr>
          <w:rFonts w:cstheme="minorHAnsi"/>
        </w:rPr>
        <w:t xml:space="preserve">of </w:t>
      </w:r>
      <w:r w:rsidR="5B0A36EE" w:rsidRPr="001A2CE1">
        <w:rPr>
          <w:rFonts w:cstheme="minorHAnsi"/>
        </w:rPr>
        <w:t xml:space="preserve">the </w:t>
      </w:r>
      <w:r w:rsidR="5B0A36EE" w:rsidRPr="001A2CE1">
        <w:rPr>
          <w:rFonts w:cstheme="minorHAnsi"/>
          <w:i/>
          <w:iCs/>
        </w:rPr>
        <w:t>Victims of Crime Act 2001</w:t>
      </w:r>
      <w:r w:rsidR="5B0A36EE" w:rsidRPr="001A2CE1">
        <w:rPr>
          <w:rFonts w:cstheme="minorHAnsi"/>
        </w:rPr>
        <w:t>.</w:t>
      </w:r>
      <w:r w:rsidR="008A159A">
        <w:rPr>
          <w:rFonts w:cstheme="minorHAnsi"/>
        </w:rPr>
        <w:t xml:space="preserve"> </w:t>
      </w:r>
    </w:p>
    <w:p w14:paraId="3A881FF7" w14:textId="263F59EE" w:rsidR="6E1BBF64" w:rsidRPr="001A2CE1" w:rsidRDefault="4EDA46C9" w:rsidP="00D82F62">
      <w:pPr>
        <w:rPr>
          <w:rFonts w:eastAsia="Calibri"/>
        </w:rPr>
      </w:pPr>
      <w:r w:rsidRPr="001A2CE1">
        <w:t xml:space="preserve">South Australia’s youth justice system has statutory responsibility for the supervision of children and young people under the </w:t>
      </w:r>
      <w:r w:rsidRPr="001A2CE1">
        <w:rPr>
          <w:i/>
          <w:iCs/>
        </w:rPr>
        <w:t>Youth Justice Administration Act 2016</w:t>
      </w:r>
      <w:r w:rsidR="00D26C86" w:rsidRPr="001A2CE1">
        <w:rPr>
          <w:i/>
          <w:iCs/>
        </w:rPr>
        <w:t xml:space="preserve"> </w:t>
      </w:r>
      <w:r w:rsidR="00D26C86" w:rsidRPr="001A2CE1">
        <w:t>(YJAA)</w:t>
      </w:r>
      <w:r w:rsidRPr="001A2CE1">
        <w:t xml:space="preserve">. </w:t>
      </w:r>
      <w:r w:rsidR="34D98EBF" w:rsidRPr="001A2CE1">
        <w:t>The Act</w:t>
      </w:r>
      <w:r w:rsidR="6707A1E8" w:rsidRPr="001A2CE1">
        <w:rPr>
          <w:rFonts w:eastAsia="Calibri"/>
        </w:rPr>
        <w:t xml:space="preserve"> provides </w:t>
      </w:r>
      <w:r w:rsidR="0705360C" w:rsidRPr="001A2CE1">
        <w:rPr>
          <w:rFonts w:eastAsia="Calibri"/>
        </w:rPr>
        <w:t>the legis</w:t>
      </w:r>
      <w:r w:rsidR="6707A1E8" w:rsidRPr="001A2CE1">
        <w:rPr>
          <w:rFonts w:eastAsia="Calibri"/>
        </w:rPr>
        <w:t>lative framework under which DHS may exercise its youth justice powers and functions</w:t>
      </w:r>
      <w:r w:rsidR="315340BF" w:rsidRPr="001A2CE1">
        <w:rPr>
          <w:rFonts w:eastAsia="Calibri"/>
        </w:rPr>
        <w:t>, with consideration of national and international rules, guidelines and protocols</w:t>
      </w:r>
      <w:r w:rsidR="6707A1E8" w:rsidRPr="001A2CE1">
        <w:rPr>
          <w:rFonts w:eastAsia="Calibri"/>
        </w:rPr>
        <w:t>.</w:t>
      </w:r>
      <w:r w:rsidR="60118B90" w:rsidRPr="001A2CE1">
        <w:rPr>
          <w:rFonts w:eastAsia="Calibri"/>
        </w:rPr>
        <w:t xml:space="preserve"> Im</w:t>
      </w:r>
      <w:r w:rsidR="6707A1E8" w:rsidRPr="001A2CE1">
        <w:rPr>
          <w:rFonts w:eastAsia="Calibri"/>
        </w:rPr>
        <w:t xml:space="preserve">portantly, it aligns with the objects and guiding principles of the </w:t>
      </w:r>
      <w:r w:rsidR="6707A1E8" w:rsidRPr="001A2CE1">
        <w:rPr>
          <w:rFonts w:eastAsia="Calibri"/>
          <w:i/>
        </w:rPr>
        <w:t>Young Offe</w:t>
      </w:r>
      <w:r w:rsidR="6707A1E8" w:rsidRPr="001A2CE1">
        <w:rPr>
          <w:rFonts w:eastAsia="Calibri"/>
          <w:i/>
          <w:iCs/>
        </w:rPr>
        <w:t>nders Act 1993</w:t>
      </w:r>
      <w:r w:rsidR="18705846" w:rsidRPr="001A2CE1">
        <w:rPr>
          <w:rFonts w:eastAsia="Calibri"/>
          <w:i/>
          <w:iCs/>
        </w:rPr>
        <w:t xml:space="preserve"> </w:t>
      </w:r>
      <w:r w:rsidR="18705846" w:rsidRPr="001A2CE1">
        <w:rPr>
          <w:rFonts w:eastAsia="Calibri"/>
        </w:rPr>
        <w:lastRenderedPageBreak/>
        <w:t>(YOA)</w:t>
      </w:r>
      <w:r w:rsidR="6707A1E8" w:rsidRPr="001A2CE1">
        <w:rPr>
          <w:rFonts w:eastAsia="Calibri"/>
        </w:rPr>
        <w:t>, such as the promotion of individual responsibility, restitution to victims, community safety and the rehabilitation of young people, and provides a consistent legislative framework for the management of young people in the justice system.</w:t>
      </w:r>
    </w:p>
    <w:p w14:paraId="5122556F" w14:textId="7D336DDA" w:rsidR="6E1BBF64" w:rsidRPr="001A2CE1" w:rsidRDefault="6707A1E8" w:rsidP="00D82F62">
      <w:r w:rsidRPr="001A2CE1">
        <w:t xml:space="preserve">The needs, vulnerability and developmental differences of young people are recognised and protected in the YJAA. This is particularly reflected by the inclusion of a provision requiring a </w:t>
      </w:r>
      <w:r w:rsidR="00D26C86" w:rsidRPr="001A2CE1">
        <w:t>“</w:t>
      </w:r>
      <w:r w:rsidRPr="001A2CE1">
        <w:t>Charter of Rights for Youths Detained in Training Centres</w:t>
      </w:r>
      <w:r w:rsidR="00D26C86" w:rsidRPr="001A2CE1">
        <w:t>”</w:t>
      </w:r>
      <w:r w:rsidRPr="001A2CE1">
        <w:t>.</w:t>
      </w:r>
    </w:p>
    <w:p w14:paraId="517168D7" w14:textId="4954D9D1" w:rsidR="6E1BBF64" w:rsidRPr="001A2CE1" w:rsidRDefault="4EDA46C9" w:rsidP="00D82F62">
      <w:pPr>
        <w:rPr>
          <w:rFonts w:eastAsia="Calibri"/>
        </w:rPr>
      </w:pPr>
      <w:r w:rsidRPr="001A2CE1">
        <w:t xml:space="preserve">The Youth Justice </w:t>
      </w:r>
      <w:r w:rsidR="00D26C86" w:rsidRPr="001A2CE1">
        <w:t xml:space="preserve">Services </w:t>
      </w:r>
      <w:r w:rsidRPr="001A2CE1">
        <w:t xml:space="preserve">division within DHS has oversight of supervised orders determined by the court under the </w:t>
      </w:r>
      <w:r w:rsidR="74E87469" w:rsidRPr="001A2CE1">
        <w:t>YOA</w:t>
      </w:r>
      <w:r w:rsidRPr="001A2CE1">
        <w:t>. Young people often have a range of needs that go beyond their contact with the justice system</w:t>
      </w:r>
      <w:r w:rsidR="007F6D90" w:rsidRPr="001A2CE1">
        <w:t>.</w:t>
      </w:r>
      <w:r w:rsidRPr="001A2CE1">
        <w:rPr>
          <w:rFonts w:eastAsia="Calibri"/>
        </w:rPr>
        <w:t xml:space="preserve"> </w:t>
      </w:r>
      <w:r w:rsidR="007F6D90" w:rsidRPr="001A2CE1">
        <w:rPr>
          <w:rFonts w:eastAsia="Calibri"/>
        </w:rPr>
        <w:t>T</w:t>
      </w:r>
      <w:r w:rsidRPr="001A2CE1">
        <w:rPr>
          <w:rFonts w:eastAsia="Calibri"/>
        </w:rPr>
        <w:t xml:space="preserve">hese </w:t>
      </w:r>
      <w:r w:rsidR="007F6D90" w:rsidRPr="001A2CE1">
        <w:rPr>
          <w:rFonts w:eastAsia="Calibri"/>
        </w:rPr>
        <w:t xml:space="preserve">needs </w:t>
      </w:r>
      <w:r w:rsidRPr="001A2CE1">
        <w:rPr>
          <w:rFonts w:eastAsia="Calibri"/>
        </w:rPr>
        <w:t xml:space="preserve">are critical in informing the approach of </w:t>
      </w:r>
      <w:r w:rsidR="007F6D90" w:rsidRPr="001A2CE1">
        <w:rPr>
          <w:rFonts w:eastAsia="Calibri"/>
        </w:rPr>
        <w:t>Y</w:t>
      </w:r>
      <w:r w:rsidRPr="001A2CE1">
        <w:rPr>
          <w:rFonts w:eastAsia="Calibri"/>
        </w:rPr>
        <w:t xml:space="preserve">outh </w:t>
      </w:r>
      <w:r w:rsidR="007F6D90" w:rsidRPr="001A2CE1">
        <w:rPr>
          <w:rFonts w:eastAsia="Calibri"/>
        </w:rPr>
        <w:t>J</w:t>
      </w:r>
      <w:r w:rsidRPr="001A2CE1">
        <w:rPr>
          <w:rFonts w:eastAsia="Calibri"/>
        </w:rPr>
        <w:t>ustice</w:t>
      </w:r>
      <w:r w:rsidR="007F6D90" w:rsidRPr="001A2CE1">
        <w:rPr>
          <w:rFonts w:eastAsia="Calibri"/>
        </w:rPr>
        <w:t xml:space="preserve"> Services</w:t>
      </w:r>
      <w:r w:rsidRPr="001A2CE1">
        <w:rPr>
          <w:rFonts w:eastAsia="Calibri"/>
        </w:rPr>
        <w:t>.</w:t>
      </w:r>
    </w:p>
    <w:p w14:paraId="7C1E9663" w14:textId="4B802EF6" w:rsidR="6E1BBF64" w:rsidRPr="001A2CE1" w:rsidRDefault="4EDA46C9" w:rsidP="00D82F62">
      <w:pPr>
        <w:rPr>
          <w:rFonts w:eastAsia="Calibri"/>
        </w:rPr>
      </w:pPr>
      <w:r w:rsidRPr="001A2CE1">
        <w:t xml:space="preserve">In recent years, justice services for young people in multiple jurisdictions have undergone </w:t>
      </w:r>
      <w:r w:rsidR="006C3D27" w:rsidRPr="001A2CE1">
        <w:t>change</w:t>
      </w:r>
      <w:r w:rsidRPr="001A2CE1">
        <w:t xml:space="preserve"> following the release of critical independent reviews, including the </w:t>
      </w:r>
      <w:r w:rsidRPr="001A2CE1">
        <w:rPr>
          <w:i/>
          <w:iCs/>
        </w:rPr>
        <w:t>Royal Commission into the Protection and Detention of Children in the Northern Territory</w:t>
      </w:r>
      <w:r w:rsidRPr="001A2CE1">
        <w:t xml:space="preserve">. For South Australia, this State Plan will deliver against the government’s </w:t>
      </w:r>
      <w:r w:rsidR="006C3D27" w:rsidRPr="001A2CE1">
        <w:t xml:space="preserve">priorities for youth justice </w:t>
      </w:r>
      <w:proofErr w:type="gramStart"/>
      <w:r w:rsidR="006C3D27" w:rsidRPr="001A2CE1">
        <w:t>services</w:t>
      </w:r>
      <w:r w:rsidRPr="001A2CE1">
        <w:t xml:space="preserve">, </w:t>
      </w:r>
      <w:r w:rsidR="006C3D27" w:rsidRPr="001A2CE1">
        <w:t>and</w:t>
      </w:r>
      <w:proofErr w:type="gramEnd"/>
      <w:r w:rsidR="006C3D27" w:rsidRPr="001A2CE1">
        <w:t xml:space="preserve"> respond to</w:t>
      </w:r>
      <w:r w:rsidRPr="001A2CE1">
        <w:t xml:space="preserve"> the independent reviews by the Ombudsman SA and the Training Centre </w:t>
      </w:r>
      <w:r w:rsidRPr="001A2CE1">
        <w:rPr>
          <w:rFonts w:eastAsia="Calibri"/>
        </w:rPr>
        <w:t>Visitor. In addition, the department is committed to continue to review and improve its practices in line with the needs of children</w:t>
      </w:r>
      <w:r w:rsidR="006B4851" w:rsidRPr="001A2CE1">
        <w:rPr>
          <w:rFonts w:eastAsia="Calibri"/>
        </w:rPr>
        <w:t>,</w:t>
      </w:r>
      <w:r w:rsidRPr="001A2CE1">
        <w:rPr>
          <w:rFonts w:eastAsia="Calibri"/>
        </w:rPr>
        <w:t xml:space="preserve"> young people</w:t>
      </w:r>
      <w:r w:rsidR="006B4851" w:rsidRPr="001A2CE1">
        <w:rPr>
          <w:rFonts w:eastAsia="Calibri"/>
        </w:rPr>
        <w:t xml:space="preserve"> and staff</w:t>
      </w:r>
      <w:r w:rsidRPr="001A2CE1">
        <w:rPr>
          <w:rFonts w:eastAsia="Calibri"/>
        </w:rPr>
        <w:t>, community expectations, and national standards and international conventions.</w:t>
      </w:r>
    </w:p>
    <w:p w14:paraId="4C1DB564" w14:textId="400BC230" w:rsidR="6E1BBF64" w:rsidRPr="001A2CE1" w:rsidRDefault="4EDA46C9" w:rsidP="00D82F62">
      <w:r w:rsidRPr="001A2CE1">
        <w:t xml:space="preserve">A primary focus of our work is to reduce the over-representation of Aboriginal </w:t>
      </w:r>
      <w:r w:rsidR="00C73F87" w:rsidRPr="001A2CE1">
        <w:t xml:space="preserve">children and </w:t>
      </w:r>
      <w:r w:rsidRPr="001A2CE1">
        <w:t xml:space="preserve">young people throughout the system. We now have a better understanding of intergenerational trauma </w:t>
      </w:r>
      <w:r w:rsidR="00E94E4B" w:rsidRPr="001A2CE1">
        <w:t xml:space="preserve">and </w:t>
      </w:r>
      <w:r w:rsidR="00EA1E65" w:rsidRPr="001A2CE1">
        <w:t xml:space="preserve">its </w:t>
      </w:r>
      <w:r w:rsidR="00E94E4B" w:rsidRPr="001A2CE1">
        <w:t xml:space="preserve">lasting </w:t>
      </w:r>
      <w:r w:rsidR="00C1448E" w:rsidRPr="001A2CE1">
        <w:t xml:space="preserve">consequences on </w:t>
      </w:r>
      <w:r w:rsidR="006A0E96" w:rsidRPr="001A2CE1">
        <w:t xml:space="preserve">future </w:t>
      </w:r>
      <w:r w:rsidR="00C1448E" w:rsidRPr="001A2CE1">
        <w:t>generation</w:t>
      </w:r>
      <w:r w:rsidR="004A0359" w:rsidRPr="001A2CE1">
        <w:t>s</w:t>
      </w:r>
      <w:r w:rsidR="003F55D2" w:rsidRPr="001A2CE1">
        <w:t>.</w:t>
      </w:r>
      <w:r w:rsidRPr="001A2CE1">
        <w:t xml:space="preserve"> </w:t>
      </w:r>
      <w:r w:rsidR="00C27661" w:rsidRPr="00C27661">
        <w:t xml:space="preserve">Systemic racism, abuse, family and domestic violence and intergenerational poverty and incarceration continue to impact Aboriginal families and communities. </w:t>
      </w:r>
      <w:r w:rsidRPr="001A2CE1">
        <w:t xml:space="preserve">As an organisation we acknowledge </w:t>
      </w:r>
      <w:r w:rsidR="00CF361C" w:rsidRPr="001A2CE1">
        <w:t xml:space="preserve">these </w:t>
      </w:r>
      <w:r w:rsidRPr="001A2CE1">
        <w:t>impact</w:t>
      </w:r>
      <w:r w:rsidR="00CF361C" w:rsidRPr="001A2CE1">
        <w:t>s</w:t>
      </w:r>
      <w:r w:rsidRPr="001A2CE1">
        <w:t xml:space="preserve"> and the</w:t>
      </w:r>
      <w:r w:rsidR="00A33EEA">
        <w:t>ir relationship</w:t>
      </w:r>
      <w:r w:rsidRPr="001A2CE1">
        <w:t xml:space="preserve"> with the numbers of Aboriginal clients in </w:t>
      </w:r>
      <w:r w:rsidR="0068640C" w:rsidRPr="001A2CE1">
        <w:t>Y</w:t>
      </w:r>
      <w:r w:rsidRPr="001A2CE1">
        <w:t xml:space="preserve">outh </w:t>
      </w:r>
      <w:r w:rsidR="0068640C" w:rsidRPr="001A2CE1">
        <w:t>J</w:t>
      </w:r>
      <w:r w:rsidRPr="001A2CE1">
        <w:t xml:space="preserve">ustice. We </w:t>
      </w:r>
      <w:r w:rsidR="572E106B" w:rsidRPr="001A2CE1">
        <w:t>w</w:t>
      </w:r>
      <w:r w:rsidR="2C1D4521" w:rsidRPr="001A2CE1">
        <w:t xml:space="preserve">ill work closely </w:t>
      </w:r>
      <w:r w:rsidR="7A0F7F38" w:rsidRPr="001A2CE1">
        <w:t>with</w:t>
      </w:r>
      <w:r w:rsidR="2C1D4521" w:rsidRPr="001A2CE1">
        <w:t xml:space="preserve"> Aboriginal children and young people, families and </w:t>
      </w:r>
      <w:r w:rsidR="00E25BCE" w:rsidRPr="001A2CE1">
        <w:t>communities</w:t>
      </w:r>
      <w:r w:rsidR="4B8E85C6" w:rsidRPr="001A2CE1">
        <w:t>,</w:t>
      </w:r>
      <w:r w:rsidR="2C1D4521" w:rsidRPr="001A2CE1">
        <w:t xml:space="preserve"> </w:t>
      </w:r>
      <w:r w:rsidR="7D71B974" w:rsidRPr="001A2CE1">
        <w:t>to</w:t>
      </w:r>
      <w:r w:rsidRPr="001A2CE1">
        <w:t xml:space="preserve"> facilitat</w:t>
      </w:r>
      <w:r w:rsidR="6A3449CB" w:rsidRPr="001A2CE1">
        <w:t>e</w:t>
      </w:r>
      <w:r w:rsidRPr="001A2CE1">
        <w:t xml:space="preserve"> cultural connections and provid</w:t>
      </w:r>
      <w:r w:rsidR="6C4D7F9C" w:rsidRPr="001A2CE1">
        <w:t>e</w:t>
      </w:r>
      <w:r w:rsidRPr="001A2CE1">
        <w:t xml:space="preserve"> culturally safe and trauma</w:t>
      </w:r>
      <w:r w:rsidR="0068640C" w:rsidRPr="001A2CE1">
        <w:t>-</w:t>
      </w:r>
      <w:r w:rsidR="00980AAD" w:rsidRPr="001A2CE1">
        <w:t xml:space="preserve">responsive </w:t>
      </w:r>
      <w:r w:rsidRPr="001A2CE1">
        <w:t>services to Aboriginal children and young people.</w:t>
      </w:r>
      <w:r w:rsidR="00901C58" w:rsidRPr="00901C58">
        <w:t xml:space="preserve"> </w:t>
      </w:r>
      <w:r w:rsidR="00901C58" w:rsidRPr="00C27661">
        <w:t>We will support the passing of knowledge and culture to Aboriginal children and young people who are the vessels of culture moving forward</w:t>
      </w:r>
      <w:r w:rsidR="00901C58" w:rsidRPr="001A2CE1">
        <w:t>.</w:t>
      </w:r>
    </w:p>
    <w:p w14:paraId="3C0994B0" w14:textId="103C83DF" w:rsidR="007F1A73" w:rsidRDefault="4EDA46C9" w:rsidP="00D82F62">
      <w:r w:rsidRPr="001A2CE1">
        <w:t xml:space="preserve">This plan acknowledges that to better support a positive future for our state’s </w:t>
      </w:r>
      <w:r w:rsidR="00C73F87" w:rsidRPr="001A2CE1">
        <w:t xml:space="preserve">children and </w:t>
      </w:r>
      <w:r w:rsidRPr="001A2CE1">
        <w:t xml:space="preserve">young people, we need to better understand and work </w:t>
      </w:r>
      <w:r w:rsidRPr="001A2CE1">
        <w:rPr>
          <w:i/>
          <w:iCs/>
        </w:rPr>
        <w:t>with</w:t>
      </w:r>
      <w:r w:rsidRPr="001A2CE1">
        <w:t xml:space="preserve"> </w:t>
      </w:r>
      <w:r w:rsidR="00C73F87" w:rsidRPr="001A2CE1">
        <w:t xml:space="preserve">children and </w:t>
      </w:r>
      <w:r w:rsidRPr="001A2CE1">
        <w:t xml:space="preserve">young people. </w:t>
      </w:r>
      <w:r w:rsidR="00C02941" w:rsidRPr="001A2CE1">
        <w:t>We can only do this</w:t>
      </w:r>
      <w:r w:rsidRPr="001A2CE1">
        <w:t xml:space="preserve"> by hearing the</w:t>
      </w:r>
      <w:r w:rsidR="001E28C0">
        <w:t xml:space="preserve">ir voices </w:t>
      </w:r>
      <w:r w:rsidRPr="001A2CE1">
        <w:t>and connecting with other services that work with</w:t>
      </w:r>
      <w:r w:rsidR="00C73F87" w:rsidRPr="001A2CE1">
        <w:t xml:space="preserve"> </w:t>
      </w:r>
      <w:r w:rsidR="00A31CA8">
        <w:t xml:space="preserve">them </w:t>
      </w:r>
      <w:r w:rsidRPr="001A2CE1">
        <w:t xml:space="preserve">and their families before, during and after their contact with the justice system. </w:t>
      </w:r>
      <w:r w:rsidR="0040020F" w:rsidRPr="001A2CE1">
        <w:t>Children and young people must be involved in decision making processes that affect them, such that they themselves are helping to create their own positive alternate pathways, and connection to community and country.</w:t>
      </w:r>
    </w:p>
    <w:p w14:paraId="7E09BD02" w14:textId="77777777" w:rsidR="005E35C8" w:rsidRDefault="005E35C8" w:rsidP="00D82F62"/>
    <w:p w14:paraId="6DFA1B7F" w14:textId="46A37991" w:rsidR="6E1BBF64" w:rsidRDefault="6E1BBF64" w:rsidP="00D82F62">
      <w:pPr>
        <w:rPr>
          <w:rFonts w:ascii="Calibri" w:eastAsia="Calibri" w:hAnsi="Calibri" w:cs="Calibri"/>
        </w:rPr>
      </w:pPr>
    </w:p>
    <w:p w14:paraId="5C6D4BD3" w14:textId="6A141361" w:rsidR="00C07005" w:rsidRDefault="00C07005" w:rsidP="00D82F62">
      <w:pPr>
        <w:rPr>
          <w:rFonts w:ascii="Calibri" w:eastAsia="Calibri" w:hAnsi="Calibri" w:cs="Calibri"/>
        </w:rPr>
      </w:pPr>
    </w:p>
    <w:p w14:paraId="42F54BD8" w14:textId="02175FA4" w:rsidR="00357C08" w:rsidRDefault="00357C08" w:rsidP="00D82F62">
      <w:pPr>
        <w:rPr>
          <w:rFonts w:ascii="Calibri" w:eastAsia="Calibri" w:hAnsi="Calibri" w:cs="Calibri"/>
        </w:rPr>
      </w:pPr>
    </w:p>
    <w:p w14:paraId="4C804785" w14:textId="6808EB1E" w:rsidR="00357C08" w:rsidRDefault="00357C08" w:rsidP="00357C08">
      <w:pPr>
        <w:pStyle w:val="Heading3"/>
      </w:pPr>
      <w:r>
        <w:lastRenderedPageBreak/>
        <w:t xml:space="preserve">Fig 3: Dual Clients - </w:t>
      </w:r>
      <w:r w:rsidRPr="00357C08">
        <w:t xml:space="preserve">Number of young people aged 10 to 17 under youth justice supervision in South Australia who also received child protection services, </w:t>
      </w:r>
      <w:r w:rsidR="007551D1" w:rsidRPr="007551D1">
        <w:t>2012</w:t>
      </w:r>
      <w:r w:rsidR="007551D1">
        <w:t>–</w:t>
      </w:r>
      <w:r w:rsidR="007551D1" w:rsidRPr="007551D1">
        <w:t>13 to 2016</w:t>
      </w:r>
      <w:r w:rsidR="007551D1">
        <w:t>–</w:t>
      </w:r>
      <w:r w:rsidR="007551D1" w:rsidRPr="007551D1">
        <w:t>17</w:t>
      </w:r>
    </w:p>
    <w:p w14:paraId="6B1A2995" w14:textId="383575CE" w:rsidR="00357C08" w:rsidRDefault="00357C08" w:rsidP="00D82F62">
      <w:pPr>
        <w:rPr>
          <w:rFonts w:ascii="Calibri" w:eastAsia="Calibri" w:hAnsi="Calibri" w:cs="Calibri"/>
        </w:rPr>
      </w:pPr>
      <w:r>
        <w:rPr>
          <w:rFonts w:ascii="Calibri" w:eastAsia="Calibri" w:hAnsi="Calibri" w:cs="Calibri"/>
          <w:noProof/>
        </w:rPr>
        <w:drawing>
          <wp:inline distT="0" distB="0" distL="0" distR="0" wp14:anchorId="75F5201F" wp14:editId="0248A18E">
            <wp:extent cx="5400000" cy="2595600"/>
            <wp:effectExtent l="0" t="0" r="0" b="0"/>
            <wp:docPr id="5" name="Picture 5" descr="This bar graph (with percentage line) shows Dual Clients. That is, the number and percentage of young people aged 10 to 17 under Youth Justice supervision in South Australia who also received Child Protection services, 1 July 2013 to 30 June 2017. There are four bars showing Male Indigenous, Male Non-Indigenous, Female Indigenous and Female Non-Indigenous. In raw figures, male Indigenous and male non-Indigenous people who are dual clients have the highest bars, however, in percentage terms, they both show lower figures than the females. The largest percentage of dual clients are the female Indigenous people, followed by the female non-Indigenous people. For males, the highest percentage of dual clients are the male Indigenous people, followed by the male non-Indigenous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dual-clients.png"/>
                    <pic:cNvPicPr/>
                  </pic:nvPicPr>
                  <pic:blipFill rotWithShape="1">
                    <a:blip r:embed="rId13">
                      <a:extLst>
                        <a:ext uri="{28A0092B-C50C-407E-A947-70E740481C1C}">
                          <a14:useLocalDpi xmlns:a14="http://schemas.microsoft.com/office/drawing/2010/main" val="0"/>
                        </a:ext>
                      </a:extLst>
                    </a:blip>
                    <a:srcRect t="17906"/>
                    <a:stretch/>
                  </pic:blipFill>
                  <pic:spPr bwMode="auto">
                    <a:xfrm>
                      <a:off x="0" y="0"/>
                      <a:ext cx="5400000" cy="2595600"/>
                    </a:xfrm>
                    <a:prstGeom prst="rect">
                      <a:avLst/>
                    </a:prstGeom>
                    <a:ln>
                      <a:noFill/>
                    </a:ln>
                    <a:extLst>
                      <a:ext uri="{53640926-AAD7-44D8-BBD7-CCE9431645EC}">
                        <a14:shadowObscured xmlns:a14="http://schemas.microsoft.com/office/drawing/2010/main"/>
                      </a:ext>
                    </a:extLst>
                  </pic:spPr>
                </pic:pic>
              </a:graphicData>
            </a:graphic>
          </wp:inline>
        </w:drawing>
      </w:r>
    </w:p>
    <w:p w14:paraId="4B6DB862" w14:textId="51F479F9" w:rsidR="00C07005" w:rsidRDefault="00C07005" w:rsidP="00BF5E3E">
      <w:pPr>
        <w:spacing w:after="320"/>
        <w:rPr>
          <w:i/>
          <w:iCs/>
        </w:rPr>
      </w:pPr>
      <w:r>
        <w:rPr>
          <w:i/>
          <w:iCs/>
        </w:rPr>
        <w:t xml:space="preserve">Source: </w:t>
      </w:r>
      <w:r w:rsidRPr="00F75ED1">
        <w:rPr>
          <w:i/>
          <w:iCs/>
        </w:rPr>
        <w:t xml:space="preserve">AIHW </w:t>
      </w:r>
      <w:r w:rsidR="00BF5E3E">
        <w:rPr>
          <w:i/>
          <w:iCs/>
        </w:rPr>
        <w:t xml:space="preserve">young people in child protection and </w:t>
      </w:r>
      <w:r>
        <w:rPr>
          <w:i/>
          <w:iCs/>
        </w:rPr>
        <w:t>under youth justice supervision report (</w:t>
      </w:r>
      <w:r w:rsidR="00BF5E3E">
        <w:rPr>
          <w:i/>
          <w:iCs/>
        </w:rPr>
        <w:t>1 July 2013 to 30 June 2017)</w:t>
      </w:r>
    </w:p>
    <w:p w14:paraId="7767093A" w14:textId="14242F96" w:rsidR="6E1BBF64" w:rsidRPr="00F70CD1" w:rsidRDefault="4EDA46C9" w:rsidP="00D82F62">
      <w:r w:rsidRPr="00F71C20">
        <w:t>Within DHS, a new Communities and Families portfolio was established in 2019. The purpose of this portfolio is t</w:t>
      </w:r>
      <w:r w:rsidRPr="00966DC9">
        <w:t>o provide a coordinated, collaborative service response to children and young people at risk of entering the child protection system</w:t>
      </w:r>
      <w:r w:rsidR="001E1DAD">
        <w:t>.</w:t>
      </w:r>
      <w:r w:rsidRPr="00F71C20">
        <w:t xml:space="preserve"> This portfolio also supports alignment in the department between areas working with many of the same people</w:t>
      </w:r>
      <w:r w:rsidRPr="506C967F">
        <w:t xml:space="preserve"> and families, including Youth Justice</w:t>
      </w:r>
      <w:r w:rsidR="00FB1765">
        <w:t xml:space="preserve"> Services</w:t>
      </w:r>
      <w:r w:rsidRPr="506C967F">
        <w:t xml:space="preserve">, Community Services, Safer Family Services, the Early Intervention Research Directorate and the Office for Women (responsible for the state’s domestic, family, and sexual violence response). </w:t>
      </w:r>
    </w:p>
    <w:p w14:paraId="597DC833" w14:textId="41BF71AF" w:rsidR="00BB2EF1" w:rsidRPr="004E784C" w:rsidRDefault="4EDA46C9" w:rsidP="004E784C">
      <w:pPr>
        <w:pStyle w:val="Subtitle"/>
      </w:pPr>
      <w:r w:rsidRPr="004E784C">
        <w:t xml:space="preserve">Consultation, principles and themes </w:t>
      </w:r>
    </w:p>
    <w:p w14:paraId="6026ED11" w14:textId="243E9269" w:rsidR="75271BAA" w:rsidRPr="00F70CD1" w:rsidRDefault="4EDA46C9" w:rsidP="00D82F62">
      <w:pPr>
        <w:pStyle w:val="paragraph"/>
        <w:rPr>
          <w:rStyle w:val="normaltextrun"/>
          <w:rFonts w:asciiTheme="minorHAnsi" w:hAnsiTheme="minorHAnsi" w:cs="Calibri"/>
        </w:rPr>
      </w:pPr>
      <w:r w:rsidRPr="00F70CD1">
        <w:rPr>
          <w:rStyle w:val="eop"/>
          <w:rFonts w:asciiTheme="minorHAnsi" w:hAnsiTheme="minorHAnsi" w:cs="Calibri"/>
        </w:rPr>
        <w:t xml:space="preserve">In developing this plan, </w:t>
      </w:r>
      <w:r w:rsidR="0068640C" w:rsidRPr="00F70CD1">
        <w:rPr>
          <w:rStyle w:val="eop"/>
          <w:rFonts w:asciiTheme="minorHAnsi" w:hAnsiTheme="minorHAnsi" w:cs="Calibri"/>
        </w:rPr>
        <w:t>DHS</w:t>
      </w:r>
      <w:r w:rsidRPr="00F70CD1">
        <w:rPr>
          <w:rStyle w:val="eop"/>
          <w:rFonts w:asciiTheme="minorHAnsi" w:hAnsiTheme="minorHAnsi" w:cs="Calibri"/>
        </w:rPr>
        <w:t xml:space="preserve"> </w:t>
      </w:r>
      <w:r w:rsidR="0068640C" w:rsidRPr="00F70CD1">
        <w:rPr>
          <w:rStyle w:val="eop"/>
          <w:rFonts w:asciiTheme="minorHAnsi" w:hAnsiTheme="minorHAnsi" w:cs="Calibri"/>
        </w:rPr>
        <w:t>led</w:t>
      </w:r>
      <w:r w:rsidRPr="00F70CD1">
        <w:rPr>
          <w:rStyle w:val="eop"/>
          <w:rFonts w:asciiTheme="minorHAnsi" w:hAnsiTheme="minorHAnsi" w:cs="Calibri"/>
        </w:rPr>
        <w:t xml:space="preserve"> extensive consultation and co-design throughout 2018-19. Independent reports, evidence and client and community feedback </w:t>
      </w:r>
      <w:r w:rsidR="00C2797E">
        <w:rPr>
          <w:rStyle w:val="eop"/>
          <w:rFonts w:asciiTheme="minorHAnsi" w:hAnsiTheme="minorHAnsi" w:cs="Calibri"/>
        </w:rPr>
        <w:t>were</w:t>
      </w:r>
      <w:r w:rsidRPr="00F70CD1">
        <w:rPr>
          <w:rStyle w:val="eop"/>
          <w:rFonts w:asciiTheme="minorHAnsi" w:hAnsiTheme="minorHAnsi" w:cs="Calibri"/>
        </w:rPr>
        <w:t xml:space="preserve"> used as a basis for workshops with staff, key partner agencies, community partners, young people and Aboriginal communities.</w:t>
      </w:r>
      <w:r w:rsidR="75271BAA" w:rsidRPr="00F70CD1">
        <w:rPr>
          <w:rStyle w:val="eop"/>
          <w:rFonts w:asciiTheme="minorHAnsi" w:hAnsiTheme="minorHAnsi" w:cs="Calibri"/>
        </w:rPr>
        <w:t xml:space="preserve"> </w:t>
      </w:r>
      <w:r w:rsidR="6801C1A2" w:rsidRPr="00F70CD1">
        <w:rPr>
          <w:rStyle w:val="eop"/>
          <w:rFonts w:asciiTheme="minorHAnsi" w:hAnsiTheme="minorHAnsi" w:cs="Calibri"/>
        </w:rPr>
        <w:t>T</w:t>
      </w:r>
      <w:r w:rsidR="6801C1A2" w:rsidRPr="00F70CD1">
        <w:rPr>
          <w:rFonts w:ascii="Calibri" w:eastAsia="Calibri" w:hAnsi="Calibri"/>
        </w:rPr>
        <w:t>hrough</w:t>
      </w:r>
      <w:r w:rsidR="75271BAA" w:rsidRPr="00F70CD1">
        <w:rPr>
          <w:rFonts w:ascii="Calibri" w:eastAsia="Calibri" w:hAnsi="Calibri"/>
        </w:rPr>
        <w:t xml:space="preserve"> our work during this process, a vision for the State Plan was identified:</w:t>
      </w:r>
    </w:p>
    <w:p w14:paraId="427DFA66" w14:textId="77777777" w:rsidR="00580447" w:rsidRDefault="75271BAA" w:rsidP="00D82F62">
      <w:pPr>
        <w:pStyle w:val="block-quote"/>
        <w:rPr>
          <w:rStyle w:val="eop"/>
        </w:rPr>
      </w:pPr>
      <w:r w:rsidRPr="004E784C">
        <w:rPr>
          <w:rStyle w:val="eop"/>
        </w:rPr>
        <w:t>Providing young people in the youth justice system and their families with connected supports, programs and services</w:t>
      </w:r>
      <w:r w:rsidR="00A33EEA">
        <w:rPr>
          <w:rStyle w:val="eop"/>
        </w:rPr>
        <w:t>.</w:t>
      </w:r>
    </w:p>
    <w:p w14:paraId="086E3DFA" w14:textId="1A04BAC6" w:rsidR="75271BAA" w:rsidRPr="004E784C" w:rsidRDefault="00A33EEA" w:rsidP="00D82F62">
      <w:pPr>
        <w:pStyle w:val="block-quote"/>
        <w:rPr>
          <w:rStyle w:val="eop"/>
        </w:rPr>
      </w:pPr>
      <w:r>
        <w:rPr>
          <w:rStyle w:val="eop"/>
        </w:rPr>
        <w:t>We will do this by</w:t>
      </w:r>
      <w:r w:rsidR="75271BAA" w:rsidRPr="004E784C">
        <w:rPr>
          <w:rStyle w:val="eop"/>
        </w:rPr>
        <w:t>:</w:t>
      </w:r>
    </w:p>
    <w:p w14:paraId="4E9CE264" w14:textId="0C544CC4" w:rsidR="75271BAA" w:rsidRPr="00D220CD" w:rsidRDefault="75271BAA" w:rsidP="00D82F62">
      <w:pPr>
        <w:pStyle w:val="block-quote"/>
        <w:numPr>
          <w:ilvl w:val="0"/>
          <w:numId w:val="15"/>
        </w:numPr>
      </w:pPr>
      <w:r w:rsidRPr="00D220CD">
        <w:t>Strengthening relationships and engagement with Aboriginal communities</w:t>
      </w:r>
    </w:p>
    <w:p w14:paraId="7EE4571D" w14:textId="76A0878A" w:rsidR="75271BAA" w:rsidRPr="00D220CD" w:rsidRDefault="75271BAA" w:rsidP="00D82F62">
      <w:pPr>
        <w:pStyle w:val="block-quote"/>
        <w:numPr>
          <w:ilvl w:val="0"/>
          <w:numId w:val="15"/>
        </w:numPr>
      </w:pPr>
      <w:r w:rsidRPr="00D220CD">
        <w:t>Forming a transparent and accountable state-wide response</w:t>
      </w:r>
    </w:p>
    <w:p w14:paraId="735A8DBC" w14:textId="157DCA9D" w:rsidR="75271BAA" w:rsidRPr="00D220CD" w:rsidRDefault="75271BAA" w:rsidP="00D82F62">
      <w:pPr>
        <w:pStyle w:val="block-quote"/>
        <w:numPr>
          <w:ilvl w:val="0"/>
          <w:numId w:val="15"/>
        </w:numPr>
      </w:pPr>
      <w:r w:rsidRPr="00D220CD">
        <w:t>Creating an accessible suite of services supported by collaborative research and evidence.</w:t>
      </w:r>
    </w:p>
    <w:p w14:paraId="4A4D60AE" w14:textId="0364B2E4" w:rsidR="2E72C720" w:rsidRPr="00D220CD" w:rsidRDefault="56407843" w:rsidP="00D82F62">
      <w:r w:rsidRPr="00D220CD">
        <w:lastRenderedPageBreak/>
        <w:t>Six key service design themes were identified and supported as shared directions, under which values statements are articulated, and form this plan’s sections:</w:t>
      </w:r>
    </w:p>
    <w:p w14:paraId="6323EF78" w14:textId="26DBB32D" w:rsidR="2E72C720" w:rsidRPr="00635705" w:rsidRDefault="56407843" w:rsidP="00DB3BDB">
      <w:pPr>
        <w:pStyle w:val="Bullet-Numbered-Italic"/>
        <w:numPr>
          <w:ilvl w:val="0"/>
          <w:numId w:val="21"/>
        </w:numPr>
        <w:ind w:left="567" w:hanging="425"/>
      </w:pPr>
      <w:r w:rsidRPr="00635705">
        <w:t>Young people’s wellbeing</w:t>
      </w:r>
    </w:p>
    <w:p w14:paraId="22AACFEC" w14:textId="488514BC" w:rsidR="00D73D26" w:rsidRPr="00635705" w:rsidRDefault="56407843" w:rsidP="00DB3BDB">
      <w:pPr>
        <w:pStyle w:val="Bullet-Numbered-Italic"/>
        <w:numPr>
          <w:ilvl w:val="0"/>
          <w:numId w:val="21"/>
        </w:numPr>
        <w:ind w:left="567" w:hanging="425"/>
      </w:pPr>
      <w:r w:rsidRPr="00635705">
        <w:t>Workforce stability and investmen</w:t>
      </w:r>
      <w:r w:rsidR="00D73D26" w:rsidRPr="00635705">
        <w:t>t</w:t>
      </w:r>
    </w:p>
    <w:p w14:paraId="3105D86D" w14:textId="77777777" w:rsidR="00901C58" w:rsidRPr="00635705" w:rsidRDefault="00901C58" w:rsidP="00901C58">
      <w:pPr>
        <w:pStyle w:val="Bullet-Numbered-Italic"/>
        <w:numPr>
          <w:ilvl w:val="0"/>
          <w:numId w:val="21"/>
        </w:numPr>
        <w:ind w:left="567" w:hanging="425"/>
      </w:pPr>
      <w:r w:rsidRPr="00635705">
        <w:t xml:space="preserve">Connected services </w:t>
      </w:r>
    </w:p>
    <w:p w14:paraId="65682082" w14:textId="288D7654" w:rsidR="2E72C720" w:rsidRPr="00635705" w:rsidRDefault="56407843" w:rsidP="00DB3BDB">
      <w:pPr>
        <w:pStyle w:val="Bullet-Numbered-Italic"/>
        <w:numPr>
          <w:ilvl w:val="0"/>
          <w:numId w:val="21"/>
        </w:numPr>
        <w:ind w:left="567" w:hanging="425"/>
      </w:pPr>
      <w:r w:rsidRPr="00635705">
        <w:t>Aboriginal cultural connection</w:t>
      </w:r>
    </w:p>
    <w:p w14:paraId="747BC1D3" w14:textId="5A04AAD3" w:rsidR="2E72C720" w:rsidRPr="00635705" w:rsidRDefault="56407843" w:rsidP="00DB3BDB">
      <w:pPr>
        <w:pStyle w:val="Bullet-Numbered-Italic"/>
        <w:numPr>
          <w:ilvl w:val="0"/>
          <w:numId w:val="21"/>
        </w:numPr>
        <w:ind w:left="567" w:hanging="425"/>
      </w:pPr>
      <w:r w:rsidRPr="00635705">
        <w:t xml:space="preserve">Reconnection with community </w:t>
      </w:r>
    </w:p>
    <w:p w14:paraId="1641A809" w14:textId="222E483B" w:rsidR="2E72C720" w:rsidRPr="00635705" w:rsidRDefault="56407843" w:rsidP="00DB3BDB">
      <w:pPr>
        <w:pStyle w:val="Bullet-Numbered-Italic"/>
        <w:numPr>
          <w:ilvl w:val="0"/>
          <w:numId w:val="21"/>
        </w:numPr>
        <w:ind w:left="567" w:hanging="425"/>
      </w:pPr>
      <w:r w:rsidRPr="00635705">
        <w:t>Business intelligence</w:t>
      </w:r>
      <w:r w:rsidR="00D73D26" w:rsidRPr="00635705">
        <w:t>.</w:t>
      </w:r>
    </w:p>
    <w:p w14:paraId="26309A57" w14:textId="44757784" w:rsidR="2E72C720" w:rsidRPr="00D220CD" w:rsidRDefault="56407843" w:rsidP="00D82F62">
      <w:r w:rsidRPr="00D220CD">
        <w:t>The projects identified under these six themes set the strategic work for 2020</w:t>
      </w:r>
      <w:r w:rsidR="00AB6992">
        <w:t>–</w:t>
      </w:r>
      <w:r w:rsidRPr="00D220CD">
        <w:t xml:space="preserve">23. These projects represent the views and voices of our many stakeholders including </w:t>
      </w:r>
      <w:r w:rsidR="00C73F87" w:rsidRPr="00D220CD">
        <w:t xml:space="preserve">children and </w:t>
      </w:r>
      <w:r w:rsidRPr="00D220CD">
        <w:t xml:space="preserve">young people. The projects in this plan will involve a combination of </w:t>
      </w:r>
      <w:r w:rsidR="00734C85" w:rsidRPr="00D220CD">
        <w:t xml:space="preserve">intersecting </w:t>
      </w:r>
      <w:r w:rsidRPr="00D220CD">
        <w:t xml:space="preserve">operational, policy and strategy change </w:t>
      </w:r>
      <w:r w:rsidR="00734C85" w:rsidRPr="00D220CD">
        <w:t>that</w:t>
      </w:r>
      <w:r w:rsidRPr="00D220CD">
        <w:t xml:space="preserve"> will need to occur concurrently. This will require a collaborative project approach across the sector to design and deliver the intended outcomes. </w:t>
      </w:r>
    </w:p>
    <w:p w14:paraId="68F672F6" w14:textId="4122C1EE" w:rsidR="2E72C720" w:rsidRPr="00D220CD" w:rsidRDefault="00D92AF9" w:rsidP="00D82F62">
      <w:pPr>
        <w:rPr>
          <w:rStyle w:val="normaltextrun"/>
          <w:rFonts w:eastAsiaTheme="minorEastAsia"/>
        </w:rPr>
      </w:pPr>
      <w:r w:rsidRPr="00D220CD">
        <w:t>I</w:t>
      </w:r>
      <w:r w:rsidR="47F79402" w:rsidRPr="00D220CD">
        <w:t>n early 2019, Chief Executives from DHS, Education and Child Protection along with the Commissioner for Public Sector Employment agreed to jointly sponsor a ‘Connected Youth Journey Lab</w:t>
      </w:r>
      <w:r w:rsidR="47F79402" w:rsidRPr="00D220CD">
        <w:rPr>
          <w:i/>
          <w:iCs/>
        </w:rPr>
        <w:t>’</w:t>
      </w:r>
      <w:r w:rsidR="47F79402" w:rsidRPr="00D220CD">
        <w:t xml:space="preserve"> to better understand the complexities of young people’s lives and critical intervention points, including entry into</w:t>
      </w:r>
      <w:r w:rsidR="0068640C" w:rsidRPr="00D220CD">
        <w:t>,</w:t>
      </w:r>
      <w:r w:rsidR="47F79402" w:rsidRPr="00D220CD">
        <w:t xml:space="preserve"> and exit out of</w:t>
      </w:r>
      <w:r w:rsidR="0068640C" w:rsidRPr="00D220CD">
        <w:t>,</w:t>
      </w:r>
      <w:r w:rsidR="47F79402" w:rsidRPr="00D220CD">
        <w:t xml:space="preserve"> Youth Justice </w:t>
      </w:r>
      <w:r w:rsidR="00795D3E">
        <w:t xml:space="preserve">Services </w:t>
      </w:r>
      <w:r w:rsidR="47F79402" w:rsidRPr="00D220CD">
        <w:t>supervision.</w:t>
      </w:r>
    </w:p>
    <w:p w14:paraId="5FD66E07" w14:textId="6D116DCB" w:rsidR="2E72C720" w:rsidRPr="00D220CD" w:rsidRDefault="47F79402" w:rsidP="00D82F62">
      <w:pPr>
        <w:rPr>
          <w:rStyle w:val="normaltextrun"/>
          <w:rFonts w:cs="Calibri"/>
        </w:rPr>
      </w:pPr>
      <w:r w:rsidRPr="00D220CD">
        <w:t>The ‘Journey Lab’ has been used to inform how we</w:t>
      </w:r>
      <w:r w:rsidR="00D92AF9" w:rsidRPr="00D220CD">
        <w:t>:</w:t>
      </w:r>
      <w:r w:rsidRPr="00D220CD">
        <w:t xml:space="preserve"> place young people at the centre of service and product redesign; improve the efficiency and effectiveness of systems and processes; facilitate focused and purposeful collaboration, and; make informed decisions about priorities, resources and efforts. </w:t>
      </w:r>
    </w:p>
    <w:p w14:paraId="0719D528" w14:textId="3F4EA5F2" w:rsidR="6E1BBF64" w:rsidRPr="00D220CD" w:rsidRDefault="4EDA46C9" w:rsidP="00D82F62">
      <w:pPr>
        <w:rPr>
          <w:rStyle w:val="eop"/>
          <w:rFonts w:cs="Calibri"/>
        </w:rPr>
      </w:pPr>
      <w:r w:rsidRPr="00D220CD">
        <w:t xml:space="preserve">The Journey Lab worked with stakeholders to distil insights that helped to shape this plan. This included contributions from </w:t>
      </w:r>
      <w:r w:rsidR="00D92AF9" w:rsidRPr="00D220CD">
        <w:t xml:space="preserve">more than </w:t>
      </w:r>
      <w:r w:rsidRPr="00D220CD">
        <w:t xml:space="preserve">500 visitors who helped to map how different government agencies, processes, supports, services and protective factors interact to influence a young person’s trajectory through the tertiary system. </w:t>
      </w:r>
    </w:p>
    <w:p w14:paraId="776A5A8C" w14:textId="1DD5F9DA" w:rsidR="005E402B" w:rsidRPr="00F70CD1" w:rsidRDefault="4EDA46C9" w:rsidP="00D82F62">
      <w:pPr>
        <w:rPr>
          <w:rStyle w:val="eop"/>
          <w:rFonts w:cs="Calibri"/>
        </w:rPr>
      </w:pPr>
      <w:r w:rsidRPr="00D220CD">
        <w:rPr>
          <w:rStyle w:val="normaltextrun"/>
          <w:rFonts w:cs="Calibri"/>
        </w:rPr>
        <w:t xml:space="preserve">To ensure collaboration and </w:t>
      </w:r>
      <w:r w:rsidR="00504677" w:rsidRPr="00D220CD">
        <w:rPr>
          <w:rStyle w:val="normaltextrun"/>
          <w:rFonts w:cs="Calibri"/>
        </w:rPr>
        <w:t xml:space="preserve">service </w:t>
      </w:r>
      <w:r w:rsidRPr="00D220CD">
        <w:rPr>
          <w:rStyle w:val="normaltextrun"/>
          <w:rFonts w:cs="Calibri"/>
        </w:rPr>
        <w:t xml:space="preserve">integration, </w:t>
      </w:r>
      <w:r w:rsidR="00504677" w:rsidRPr="00D220CD">
        <w:rPr>
          <w:rStyle w:val="normaltextrun"/>
          <w:rFonts w:cs="Calibri"/>
        </w:rPr>
        <w:t xml:space="preserve">an executive governance group will monitor progress against this </w:t>
      </w:r>
      <w:r w:rsidRPr="00D220CD">
        <w:rPr>
          <w:rStyle w:val="normaltextrun"/>
          <w:rFonts w:cs="Calibri"/>
        </w:rPr>
        <w:t xml:space="preserve">State Plan. One of the </w:t>
      </w:r>
      <w:r w:rsidR="00504677" w:rsidRPr="00D220CD">
        <w:rPr>
          <w:rStyle w:val="normaltextrun"/>
          <w:rFonts w:cs="Calibri"/>
        </w:rPr>
        <w:t xml:space="preserve">governance group’s </w:t>
      </w:r>
      <w:r w:rsidRPr="00D220CD">
        <w:rPr>
          <w:rStyle w:val="normaltextrun"/>
          <w:rFonts w:cs="Calibri"/>
        </w:rPr>
        <w:t>first priorities will be to establish an outcomes framework for measuring baselines, against which we will monitor and evaluate change</w:t>
      </w:r>
      <w:r w:rsidR="00504677" w:rsidRPr="00D220CD">
        <w:rPr>
          <w:rStyle w:val="FootnoteReference"/>
          <w:rFonts w:cs="Calibri"/>
        </w:rPr>
        <w:footnoteReference w:id="5"/>
      </w:r>
      <w:r w:rsidR="00504677" w:rsidRPr="00D220CD">
        <w:rPr>
          <w:rStyle w:val="normaltextrun"/>
          <w:rFonts w:cs="Calibri"/>
        </w:rPr>
        <w:t>.</w:t>
      </w:r>
      <w:r w:rsidR="005E402B" w:rsidRPr="00F70CD1">
        <w:rPr>
          <w:rStyle w:val="eop"/>
          <w:rFonts w:cs="Calibri"/>
        </w:rPr>
        <w:br w:type="page"/>
      </w:r>
    </w:p>
    <w:p w14:paraId="4620B1C8" w14:textId="3D5B1198" w:rsidR="00B107CF" w:rsidRPr="00574661" w:rsidRDefault="2E72C720" w:rsidP="00D82F62">
      <w:pPr>
        <w:pStyle w:val="Heading2"/>
      </w:pPr>
      <w:bookmarkStart w:id="9" w:name="_Toc40782125"/>
      <w:r w:rsidRPr="00574661">
        <w:lastRenderedPageBreak/>
        <w:t>Young people’s wellbeing</w:t>
      </w:r>
      <w:bookmarkEnd w:id="9"/>
    </w:p>
    <w:p w14:paraId="4A5AB112" w14:textId="08C81BD5" w:rsidR="6E1BBF64" w:rsidRPr="00CB14A0" w:rsidRDefault="4EDA46C9" w:rsidP="00D82F62">
      <w:pPr>
        <w:pStyle w:val="block-quote"/>
        <w:rPr>
          <w:rStyle w:val="normaltextrun"/>
        </w:rPr>
      </w:pPr>
      <w:r w:rsidRPr="007476E9">
        <w:rPr>
          <w:rStyle w:val="normaltextrun"/>
        </w:rPr>
        <w:t>“...the safety, welfare and wellbeing of children and young people is inextricably linked to their culture and community”</w:t>
      </w:r>
      <w:r w:rsidR="00055A4F" w:rsidRPr="007476E9">
        <w:rPr>
          <w:rStyle w:val="FootnoteReference"/>
        </w:rPr>
        <w:footnoteReference w:id="6"/>
      </w:r>
      <w:r w:rsidR="00AB6992">
        <w:rPr>
          <w:rStyle w:val="normaltextrun"/>
        </w:rPr>
        <w:t xml:space="preserve"> —</w:t>
      </w:r>
      <w:r w:rsidR="007476E9" w:rsidRPr="00CB14A0">
        <w:rPr>
          <w:rStyle w:val="normaltextrun"/>
        </w:rPr>
        <w:t xml:space="preserve"> </w:t>
      </w:r>
      <w:r w:rsidRPr="00CB14A0">
        <w:rPr>
          <w:rStyle w:val="normaltextrun"/>
        </w:rPr>
        <w:t xml:space="preserve">Mick </w:t>
      </w:r>
      <w:proofErr w:type="spellStart"/>
      <w:r w:rsidR="00BB5477" w:rsidRPr="00CB14A0">
        <w:rPr>
          <w:rStyle w:val="normaltextrun"/>
        </w:rPr>
        <w:t>Good</w:t>
      </w:r>
      <w:r w:rsidR="79A1FA9F" w:rsidRPr="00CB14A0">
        <w:rPr>
          <w:rStyle w:val="normaltextrun"/>
        </w:rPr>
        <w:t>a</w:t>
      </w:r>
      <w:proofErr w:type="spellEnd"/>
      <w:r w:rsidR="00055A4F" w:rsidRPr="00CB14A0">
        <w:rPr>
          <w:rStyle w:val="normaltextrun"/>
        </w:rPr>
        <w:t xml:space="preserve">, </w:t>
      </w:r>
      <w:r w:rsidR="00055A4F" w:rsidRPr="00CB14A0">
        <w:t>Aboriginal and Torres Strait Islander Social Justice Commissioner</w:t>
      </w:r>
    </w:p>
    <w:p w14:paraId="35D853AA" w14:textId="77777777" w:rsidR="00B61C2C" w:rsidRPr="00AB6992" w:rsidRDefault="2E72C720" w:rsidP="00AB6992">
      <w:pPr>
        <w:pStyle w:val="Shared-Value"/>
      </w:pPr>
      <w:r w:rsidRPr="00AB6992">
        <w:t>Shared value</w:t>
      </w:r>
      <w:r w:rsidR="00AF0433" w:rsidRPr="00AB6992">
        <w:t xml:space="preserve">: </w:t>
      </w:r>
      <w:r w:rsidRPr="00AB6992">
        <w:t>Young people’s safety and wellbeing is at the heart of our services.</w:t>
      </w:r>
    </w:p>
    <w:p w14:paraId="5E648B12" w14:textId="652D4DAF" w:rsidR="00B054A4" w:rsidRPr="00F70CD1" w:rsidRDefault="4EDA46C9" w:rsidP="00D82F62">
      <w:pPr>
        <w:rPr>
          <w:rStyle w:val="normaltextrun"/>
          <w:rFonts w:cs="Calibri"/>
        </w:rPr>
      </w:pPr>
      <w:r w:rsidRPr="00F70CD1">
        <w:rPr>
          <w:rStyle w:val="normaltextrun"/>
          <w:rFonts w:cs="Calibri"/>
        </w:rPr>
        <w:t xml:space="preserve">A contemporary </w:t>
      </w:r>
      <w:r w:rsidR="00B61C2C">
        <w:rPr>
          <w:rStyle w:val="normaltextrun"/>
          <w:rFonts w:cs="Calibri"/>
        </w:rPr>
        <w:t>y</w:t>
      </w:r>
      <w:r w:rsidRPr="00F70CD1">
        <w:rPr>
          <w:rStyle w:val="normaltextrun"/>
          <w:rFonts w:cs="Calibri"/>
        </w:rPr>
        <w:t xml:space="preserve">outh </w:t>
      </w:r>
      <w:r w:rsidR="00B61C2C">
        <w:rPr>
          <w:rStyle w:val="normaltextrun"/>
          <w:rFonts w:cs="Calibri"/>
        </w:rPr>
        <w:t>j</w:t>
      </w:r>
      <w:r w:rsidRPr="00F70CD1">
        <w:rPr>
          <w:rStyle w:val="normaltextrun"/>
          <w:rFonts w:cs="Calibri"/>
        </w:rPr>
        <w:t>ustice system must be centred around each young person within it</w:t>
      </w:r>
      <w:r w:rsidR="008C1B6D" w:rsidRPr="00F70CD1">
        <w:rPr>
          <w:rStyle w:val="normaltextrun"/>
          <w:rFonts w:cs="Calibri"/>
        </w:rPr>
        <w:t xml:space="preserve">. </w:t>
      </w:r>
      <w:r w:rsidR="00B054A4" w:rsidRPr="00F70CD1">
        <w:t>A ‘whole-person’ approach identifies a theoretically informed</w:t>
      </w:r>
      <w:r w:rsidR="00B054A4" w:rsidRPr="00F70CD1">
        <w:rPr>
          <w:vertAlign w:val="superscript"/>
        </w:rPr>
        <w:footnoteReference w:id="7"/>
      </w:r>
      <w:r w:rsidR="00B054A4" w:rsidRPr="00F70CD1">
        <w:t xml:space="preserve"> and multi-systemic understanding of the underlying causes and interrelationships behind a young person’s behaviours, the factors which can contribute to the persistence of difficulties, and generates a case planning approach which is sequential and identifies targeted goals for change. </w:t>
      </w:r>
    </w:p>
    <w:p w14:paraId="11789775" w14:textId="37D6C1D3" w:rsidR="2E72C720" w:rsidRPr="00F70CD1" w:rsidRDefault="4EDA46C9" w:rsidP="00D82F62">
      <w:pPr>
        <w:rPr>
          <w:rStyle w:val="normaltextrun"/>
          <w:rFonts w:cs="Calibri"/>
        </w:rPr>
      </w:pPr>
      <w:r w:rsidRPr="00F70CD1">
        <w:rPr>
          <w:rStyle w:val="normaltextrun"/>
          <w:rFonts w:cs="Calibri"/>
        </w:rPr>
        <w:t>Emphasis</w:t>
      </w:r>
      <w:r w:rsidR="00F445AE">
        <w:rPr>
          <w:rStyle w:val="normaltextrun"/>
          <w:rFonts w:cs="Calibri"/>
        </w:rPr>
        <w:t xml:space="preserve"> will be</w:t>
      </w:r>
      <w:r w:rsidRPr="00F70CD1">
        <w:rPr>
          <w:rStyle w:val="normaltextrun"/>
          <w:rFonts w:cs="Calibri"/>
        </w:rPr>
        <w:t xml:space="preserve"> on building </w:t>
      </w:r>
      <w:r w:rsidR="00C73F87">
        <w:rPr>
          <w:rStyle w:val="normaltextrun"/>
          <w:rFonts w:cs="Calibri"/>
        </w:rPr>
        <w:t xml:space="preserve">children and </w:t>
      </w:r>
      <w:r w:rsidRPr="00F70CD1">
        <w:rPr>
          <w:rStyle w:val="normaltextrun"/>
          <w:rFonts w:cs="Calibri"/>
        </w:rPr>
        <w:t xml:space="preserve">young people’s resilience, confidence and sense of purpose, with supports tailored to </w:t>
      </w:r>
      <w:proofErr w:type="gramStart"/>
      <w:r w:rsidRPr="00F70CD1">
        <w:rPr>
          <w:rStyle w:val="normaltextrun"/>
          <w:rFonts w:cs="Calibri"/>
        </w:rPr>
        <w:t>each individual’s</w:t>
      </w:r>
      <w:proofErr w:type="gramEnd"/>
      <w:r w:rsidRPr="00F70CD1">
        <w:rPr>
          <w:rStyle w:val="normaltextrun"/>
          <w:rFonts w:cs="Calibri"/>
        </w:rPr>
        <w:t xml:space="preserve"> needs. </w:t>
      </w:r>
      <w:r w:rsidR="007453D0">
        <w:rPr>
          <w:rStyle w:val="normaltextrun"/>
          <w:rFonts w:cs="Calibri"/>
        </w:rPr>
        <w:t>I</w:t>
      </w:r>
      <w:r w:rsidRPr="00F70CD1">
        <w:rPr>
          <w:rStyle w:val="normaltextrun"/>
          <w:rFonts w:cs="Calibri"/>
        </w:rPr>
        <w:t>nclu</w:t>
      </w:r>
      <w:r w:rsidR="007453D0">
        <w:rPr>
          <w:rStyle w:val="normaltextrun"/>
          <w:rFonts w:cs="Calibri"/>
        </w:rPr>
        <w:t>ding</w:t>
      </w:r>
      <w:r w:rsidRPr="00F70CD1">
        <w:rPr>
          <w:rStyle w:val="normaltextrun"/>
          <w:rFonts w:cs="Calibri"/>
        </w:rPr>
        <w:t xml:space="preserve"> the voice of the </w:t>
      </w:r>
      <w:r w:rsidR="00C73F87">
        <w:rPr>
          <w:rStyle w:val="normaltextrun"/>
          <w:rFonts w:cs="Calibri"/>
        </w:rPr>
        <w:t xml:space="preserve">child or </w:t>
      </w:r>
      <w:r w:rsidRPr="00F70CD1">
        <w:rPr>
          <w:rStyle w:val="normaltextrun"/>
          <w:rFonts w:cs="Calibri"/>
        </w:rPr>
        <w:t xml:space="preserve">young person, their family and community is crucial to </w:t>
      </w:r>
      <w:r w:rsidR="00E8726A">
        <w:rPr>
          <w:rStyle w:val="normaltextrun"/>
          <w:rFonts w:cs="Calibri"/>
        </w:rPr>
        <w:t xml:space="preserve">improving </w:t>
      </w:r>
      <w:r w:rsidRPr="00F70CD1">
        <w:rPr>
          <w:rStyle w:val="normaltextrun"/>
          <w:rFonts w:cs="Calibri"/>
        </w:rPr>
        <w:t>service design, delivery and outcomes.</w:t>
      </w:r>
    </w:p>
    <w:p w14:paraId="67D1484A" w14:textId="60693730" w:rsidR="000E790D" w:rsidRDefault="000E790D" w:rsidP="00D82F62">
      <w:pPr>
        <w:rPr>
          <w:rStyle w:val="normaltextrun"/>
          <w:rFonts w:cs="Calibri"/>
          <w:color w:val="FF0000"/>
        </w:rPr>
      </w:pPr>
      <w:r w:rsidRPr="506C967F">
        <w:rPr>
          <w:rStyle w:val="normaltextrun"/>
          <w:rFonts w:cs="Calibri"/>
        </w:rPr>
        <w:t xml:space="preserve">An inclusive understanding of the physical, psychological, emotional, developmental, social, financial and cultural aspects of a </w:t>
      </w:r>
      <w:r>
        <w:rPr>
          <w:rStyle w:val="normaltextrun"/>
          <w:rFonts w:cs="Calibri"/>
        </w:rPr>
        <w:t xml:space="preserve">child or </w:t>
      </w:r>
      <w:r w:rsidRPr="506C967F">
        <w:rPr>
          <w:rStyle w:val="normaltextrun"/>
          <w:rFonts w:cs="Calibri"/>
        </w:rPr>
        <w:t>young person’s life is required to deliver effective case management. For example, the acknowledgement, identification and appropriate response to gender diversity, age, care status, and geographical location is required in assessment and service delivery.</w:t>
      </w:r>
      <w:r w:rsidRPr="00DF13A2">
        <w:rPr>
          <w:rStyle w:val="normaltextrun"/>
          <w:rFonts w:cs="Calibri"/>
          <w:color w:val="FF0000"/>
        </w:rPr>
        <w:t xml:space="preserve"> </w:t>
      </w:r>
      <w:bookmarkStart w:id="10" w:name="_Hlk39679346"/>
      <w:proofErr w:type="gramStart"/>
      <w:r w:rsidRPr="000E790D">
        <w:t>In light of</w:t>
      </w:r>
      <w:proofErr w:type="gramEnd"/>
      <w:r w:rsidRPr="000E790D">
        <w:t xml:space="preserve"> the recent global COVID-19 pandemic, there is an even greater requirement to focus on the early identification and response to the psychological, emotional and social wellbeing needs of children and young people.</w:t>
      </w:r>
      <w:r w:rsidR="008A159A">
        <w:rPr>
          <w:rStyle w:val="normaltextrun"/>
          <w:rFonts w:cs="Calibri"/>
          <w:color w:val="FF0000"/>
        </w:rPr>
        <w:t xml:space="preserve"> </w:t>
      </w:r>
      <w:bookmarkEnd w:id="10"/>
    </w:p>
    <w:p w14:paraId="0C33B9CB" w14:textId="16D147F7" w:rsidR="00901C58" w:rsidRDefault="00901C58" w:rsidP="00D82F62">
      <w:pPr>
        <w:rPr>
          <w:rStyle w:val="normaltextrun"/>
          <w:rFonts w:cs="Calibri"/>
        </w:rPr>
      </w:pPr>
      <w:r>
        <w:rPr>
          <w:rStyle w:val="normaltextrun"/>
          <w:rFonts w:cs="Calibri"/>
        </w:rPr>
        <w:t>The greater proportion of children and young people under supervision by Youth Justice are male (Australian Institute of Health and Welfare</w:t>
      </w:r>
      <w:r>
        <w:rPr>
          <w:rStyle w:val="FootnoteReference"/>
          <w:rFonts w:cs="Calibri"/>
        </w:rPr>
        <w:footnoteReference w:id="8"/>
      </w:r>
      <w:r w:rsidR="00D95CFD">
        <w:rPr>
          <w:rStyle w:val="normaltextrun"/>
          <w:rFonts w:cs="Calibri"/>
        </w:rPr>
        <w:t>), however, girls and young women have different programmatic needs to help them make positive choices. This level of understanding and responsiveness is required for meaningful progress in case management, and to ensure that custodial settings will meet and exceed the expectations of the Optional Protocol to the Convention against Torture (OPCAT) National Preventive Mechanism (NPM).</w:t>
      </w:r>
    </w:p>
    <w:p w14:paraId="61451273" w14:textId="3A8B471B" w:rsidR="008204BF" w:rsidRPr="00F70CD1" w:rsidRDefault="4EDA46C9" w:rsidP="00D82F62">
      <w:pPr>
        <w:rPr>
          <w:rStyle w:val="normaltextrun"/>
          <w:rFonts w:cs="Calibri"/>
        </w:rPr>
      </w:pPr>
      <w:r w:rsidRPr="00F70CD1">
        <w:rPr>
          <w:rStyle w:val="normaltextrun"/>
          <w:rFonts w:cs="Calibri"/>
        </w:rPr>
        <w:t>For Aboriginal children and young people, connection</w:t>
      </w:r>
      <w:r w:rsidR="00FE3499">
        <w:rPr>
          <w:rStyle w:val="normaltextrun"/>
          <w:rFonts w:cs="Calibri"/>
        </w:rPr>
        <w:t xml:space="preserve">, </w:t>
      </w:r>
      <w:r w:rsidRPr="00F70CD1">
        <w:rPr>
          <w:rStyle w:val="normaltextrun"/>
          <w:rFonts w:cs="Calibri"/>
        </w:rPr>
        <w:t>or reconnection</w:t>
      </w:r>
      <w:r w:rsidR="00FE3499">
        <w:rPr>
          <w:rStyle w:val="normaltextrun"/>
          <w:rFonts w:cs="Calibri"/>
        </w:rPr>
        <w:t>,</w:t>
      </w:r>
      <w:r w:rsidRPr="00F70CD1">
        <w:rPr>
          <w:rStyle w:val="normaltextrun"/>
          <w:rFonts w:cs="Calibri"/>
        </w:rPr>
        <w:t xml:space="preserve"> to culture and community is fundamental to supporting their identity and ability to respond positively to services and programs</w:t>
      </w:r>
      <w:r w:rsidR="0089496B">
        <w:rPr>
          <w:rStyle w:val="normaltextrun"/>
          <w:rFonts w:cs="Calibri"/>
        </w:rPr>
        <w:t xml:space="preserve"> in the justice system</w:t>
      </w:r>
      <w:r w:rsidRPr="00F70CD1">
        <w:rPr>
          <w:rStyle w:val="normaltextrun"/>
          <w:rFonts w:cs="Calibri"/>
        </w:rPr>
        <w:t xml:space="preserve">. We are committed to taking an evidence-based approach to case management with a focus on wellbeing, including an overarching commitment to practice that is family inclusive, trauma responsive and culturally informed. This ensures that young people are at the centre of their own case plans, with their histories, stories </w:t>
      </w:r>
      <w:r w:rsidRPr="00F70CD1">
        <w:rPr>
          <w:rStyle w:val="normaltextrun"/>
          <w:rFonts w:cs="Calibri"/>
        </w:rPr>
        <w:lastRenderedPageBreak/>
        <w:t>and experiences informing and guiding our practice in ways that utilise their personal, family and cultural strengths. Our case management approach also enables a</w:t>
      </w:r>
      <w:r w:rsidR="00FE3499">
        <w:rPr>
          <w:rStyle w:val="normaltextrun"/>
          <w:rFonts w:cs="Calibri"/>
        </w:rPr>
        <w:t xml:space="preserve"> child or</w:t>
      </w:r>
      <w:r w:rsidRPr="00F70CD1">
        <w:rPr>
          <w:rStyle w:val="normaltextrun"/>
          <w:rFonts w:cs="Calibri"/>
        </w:rPr>
        <w:t xml:space="preserve"> young person to understand the impact of their actions and the work they can undertake to prevent this harm reoccurring.</w:t>
      </w:r>
    </w:p>
    <w:p w14:paraId="0212679A" w14:textId="4A6633A7" w:rsidR="008204BF" w:rsidRPr="00F70CD1" w:rsidRDefault="4EDA46C9" w:rsidP="00D82F62">
      <w:r w:rsidRPr="00BB5477">
        <w:t>Young people have identified that they want independent living skills and to be equipped with the tools to advocate for their</w:t>
      </w:r>
      <w:r w:rsidRPr="00F70CD1">
        <w:t xml:space="preserve"> own needs, with additional support when needed. Services </w:t>
      </w:r>
      <w:r w:rsidR="005E29AF">
        <w:t>must</w:t>
      </w:r>
      <w:r w:rsidRPr="00F70CD1">
        <w:t xml:space="preserve"> be relationship-focused, with personal introductions and transitions, sound cultural knowledge and connection, an ability to respond outside of usual office hours and flexible assertive outreach that is family and community inclusive.</w:t>
      </w:r>
    </w:p>
    <w:p w14:paraId="2546E9E8" w14:textId="776A60A8" w:rsidR="008204BF" w:rsidRPr="00F70CD1" w:rsidRDefault="47F79402" w:rsidP="00D82F62">
      <w:r w:rsidRPr="00F70CD1">
        <w:t xml:space="preserve">The </w:t>
      </w:r>
      <w:r w:rsidRPr="00C77534">
        <w:rPr>
          <w:i/>
          <w:iCs/>
        </w:rPr>
        <w:t>Final Report of the Royal Commission into the Protection and Detention of Children in the Northern Territory</w:t>
      </w:r>
      <w:r w:rsidRPr="00F70CD1">
        <w:t xml:space="preserve"> concluded that there needs to be “a paradigm shift in Youth Justice to increase diversion and therapeutic approaches”</w:t>
      </w:r>
      <w:r w:rsidR="2E72C720" w:rsidRPr="00F70CD1">
        <w:rPr>
          <w:rStyle w:val="FootnoteReference"/>
          <w:rFonts w:ascii="Calibri" w:eastAsia="Calibri" w:hAnsi="Calibri" w:cs="Calibri"/>
        </w:rPr>
        <w:footnoteReference w:id="9"/>
      </w:r>
      <w:r w:rsidRPr="00F70CD1">
        <w:t>. Whilst the Royal Commission specifically focused on the Northern Territory, this need has been echoed in independent reviews of needs and practice in other jurisdictions in Australia.</w:t>
      </w:r>
      <w:r w:rsidR="4EDA46C9" w:rsidRPr="00F70CD1">
        <w:t xml:space="preserve"> For example, the </w:t>
      </w:r>
      <w:r w:rsidRPr="00F70CD1">
        <w:t>Telethon Kids Institute Banksia Hill project found significant levels of</w:t>
      </w:r>
      <w:r w:rsidR="6E1BBF64" w:rsidRPr="00F70CD1">
        <w:t xml:space="preserve"> diagnosed and undiagnosed</w:t>
      </w:r>
      <w:r w:rsidRPr="00F70CD1">
        <w:t xml:space="preserve"> </w:t>
      </w:r>
      <w:r w:rsidR="008758D2" w:rsidRPr="00F70CD1">
        <w:t>foetal</w:t>
      </w:r>
      <w:r w:rsidR="4EDA46C9" w:rsidRPr="00F70CD1">
        <w:t xml:space="preserve"> alcohol spectrum disorder </w:t>
      </w:r>
      <w:r w:rsidRPr="00F70CD1">
        <w:t>among children and young people in the system, along with a lack of appropriate assessment and therapeutic responses</w:t>
      </w:r>
      <w:r w:rsidR="2E72C720" w:rsidRPr="00F70CD1">
        <w:rPr>
          <w:rStyle w:val="FootnoteReference"/>
          <w:rFonts w:ascii="Calibri" w:eastAsia="Calibri" w:hAnsi="Calibri" w:cs="Calibri"/>
        </w:rPr>
        <w:footnoteReference w:id="10"/>
      </w:r>
      <w:r w:rsidRPr="00F70CD1">
        <w:t xml:space="preserve">. </w:t>
      </w:r>
    </w:p>
    <w:p w14:paraId="4E92AE2B" w14:textId="33E748A9" w:rsidR="2E72C720" w:rsidRDefault="005E402B" w:rsidP="00D82F62">
      <w:r w:rsidRPr="00F70CD1">
        <w:t xml:space="preserve">An emerging body of literature identifies the connection between disability-related needs and offending </w:t>
      </w:r>
      <w:r w:rsidR="00F70CD1" w:rsidRPr="00F70CD1">
        <w:t>behaviour</w:t>
      </w:r>
      <w:r w:rsidRPr="00F70CD1">
        <w:t xml:space="preserve"> for </w:t>
      </w:r>
      <w:r w:rsidR="008A08F6">
        <w:t xml:space="preserve">some </w:t>
      </w:r>
      <w:r w:rsidRPr="00F70CD1">
        <w:t>young people</w:t>
      </w:r>
      <w:r w:rsidRPr="00F70CD1">
        <w:rPr>
          <w:vertAlign w:val="superscript"/>
        </w:rPr>
        <w:footnoteReference w:id="11"/>
      </w:r>
      <w:r w:rsidRPr="00F70CD1">
        <w:t xml:space="preserve">. Disability-related needs that are hidden, missed, misidentified and inadequately addressed by social service systems can increase the likelihood of young people withdrawing from education, being associated with antisocial peers and behaviours, and making poor choices, which can all increase the risk of offending behaviour. Children and young people in the justice system need to have timely access to specialised, comprehensive assessment, and operational staff require training to understand the complex needs of </w:t>
      </w:r>
      <w:r w:rsidR="00FE3499">
        <w:t xml:space="preserve">children and </w:t>
      </w:r>
      <w:r w:rsidRPr="00F70CD1">
        <w:t xml:space="preserve">young people in custody. </w:t>
      </w:r>
      <w:r w:rsidR="00645A89" w:rsidRPr="00F70CD1">
        <w:t>This</w:t>
      </w:r>
      <w:r w:rsidRPr="00F70CD1">
        <w:t xml:space="preserve"> highlight</w:t>
      </w:r>
      <w:r w:rsidR="00645A89" w:rsidRPr="00F70CD1">
        <w:t>s</w:t>
      </w:r>
      <w:r w:rsidRPr="00F70CD1">
        <w:t xml:space="preserve"> the need</w:t>
      </w:r>
      <w:r w:rsidR="47F79402" w:rsidRPr="00F70CD1">
        <w:t xml:space="preserve"> for a shared commitment to meet the</w:t>
      </w:r>
      <w:r w:rsidR="006859E1">
        <w:t>se complex</w:t>
      </w:r>
      <w:r w:rsidR="47F79402" w:rsidRPr="00F70CD1">
        <w:t xml:space="preserve"> needs.</w:t>
      </w:r>
    </w:p>
    <w:p w14:paraId="0F9B71A3" w14:textId="56DF04F1" w:rsidR="2E72C720" w:rsidRPr="00F70CD1" w:rsidRDefault="7510CD72" w:rsidP="00D82F62">
      <w:pPr>
        <w:rPr>
          <w:rFonts w:eastAsia="Calibri"/>
        </w:rPr>
      </w:pPr>
      <w:r w:rsidRPr="6D82BE89">
        <w:t xml:space="preserve">There have been </w:t>
      </w:r>
      <w:proofErr w:type="gramStart"/>
      <w:r w:rsidRPr="6D82BE89">
        <w:t>a number of</w:t>
      </w:r>
      <w:proofErr w:type="gramEnd"/>
      <w:r w:rsidRPr="6D82BE89">
        <w:t xml:space="preserve"> calls</w:t>
      </w:r>
      <w:r w:rsidRPr="0F614298">
        <w:t xml:space="preserve">, nationally and </w:t>
      </w:r>
      <w:r w:rsidRPr="1B7DC750">
        <w:t>internationally, to</w:t>
      </w:r>
      <w:r w:rsidRPr="6D82BE89">
        <w:t xml:space="preserve"> </w:t>
      </w:r>
      <w:r w:rsidRPr="3E890816">
        <w:t xml:space="preserve">raise the age of criminal </w:t>
      </w:r>
      <w:r w:rsidRPr="4A652EBC">
        <w:t>responsibility</w:t>
      </w:r>
      <w:r w:rsidR="1A4DF5EE" w:rsidRPr="2AA289E1">
        <w:t>.</w:t>
      </w:r>
      <w:r w:rsidR="57885D55" w:rsidRPr="2AA289E1">
        <w:t xml:space="preserve"> </w:t>
      </w:r>
      <w:r w:rsidR="2E7D753C" w:rsidRPr="2AA289E1">
        <w:t>T</w:t>
      </w:r>
      <w:r w:rsidR="57885D55" w:rsidRPr="2AA289E1">
        <w:t>he</w:t>
      </w:r>
      <w:r w:rsidR="00B9425A">
        <w:t xml:space="preserve"> Council of Attorneys-General Working Group is reviewing the age of criminal responsibility in Australia</w:t>
      </w:r>
      <w:r w:rsidR="00AA474D">
        <w:t xml:space="preserve">, and </w:t>
      </w:r>
      <w:r w:rsidR="35D8D750" w:rsidRPr="40D3AAF6">
        <w:t>a</w:t>
      </w:r>
      <w:r w:rsidR="35D8D750" w:rsidRPr="07601A28">
        <w:t xml:space="preserve"> report </w:t>
      </w:r>
      <w:r w:rsidR="35D8D750" w:rsidRPr="40D3AAF6">
        <w:t>with</w:t>
      </w:r>
      <w:r w:rsidR="35D8D750" w:rsidRPr="07601A28">
        <w:t xml:space="preserve"> </w:t>
      </w:r>
      <w:r w:rsidR="35D8D750" w:rsidRPr="2249CC7E">
        <w:t xml:space="preserve">recommendations will be provided at the end </w:t>
      </w:r>
      <w:r w:rsidR="35D8D750" w:rsidRPr="39CE0633">
        <w:t>of 2020.</w:t>
      </w:r>
      <w:r w:rsidR="008A159A">
        <w:t xml:space="preserve"> </w:t>
      </w:r>
      <w:r w:rsidR="00AA474D">
        <w:t>To remain progressive, our youth justice system must consider how best to work with families, communities and partners to support and foster the growth of young children who are at risk of future contact.</w:t>
      </w:r>
      <w:r w:rsidR="00AA474D" w:rsidRPr="00F70CD1" w:rsidDel="00AA474D">
        <w:rPr>
          <w:rFonts w:ascii="Calibri" w:eastAsia="Calibri" w:hAnsi="Calibri"/>
        </w:rPr>
        <w:t xml:space="preserve"> </w:t>
      </w:r>
    </w:p>
    <w:p w14:paraId="0DBB3C13" w14:textId="648A3CA3" w:rsidR="005A18EA" w:rsidRPr="004E784C" w:rsidRDefault="4EDA46C9" w:rsidP="004E784C">
      <w:pPr>
        <w:pStyle w:val="Heading3"/>
      </w:pPr>
      <w:r w:rsidRPr="004E784C">
        <w:lastRenderedPageBreak/>
        <w:t>Initiatives underway</w:t>
      </w:r>
    </w:p>
    <w:p w14:paraId="50710F91" w14:textId="524FD71A" w:rsidR="0053412E" w:rsidRDefault="4EDA46C9" w:rsidP="008A159A">
      <w:pPr>
        <w:pStyle w:val="InitiativesBody"/>
      </w:pPr>
      <w:r w:rsidRPr="00177A29">
        <w:t>To inform our approach and to better understand the wellbeing</w:t>
      </w:r>
      <w:r w:rsidRPr="00AB6992">
        <w:t xml:space="preserve"> needs of the children and young people we work with, the Youth Justice Assessment and Intervention Services team led a Disability Screening Assessment project in </w:t>
      </w:r>
      <w:r w:rsidR="00CB0789" w:rsidRPr="00CB0789">
        <w:t xml:space="preserve">Kurlana Tapa Youth Justice Centre </w:t>
      </w:r>
      <w:r w:rsidRPr="00AB6992">
        <w:t xml:space="preserve">in 2019. This provided insights into the prevalence, complexity and impact of disability needs, to improve responses to children and young people </w:t>
      </w:r>
      <w:r w:rsidR="00645A89" w:rsidRPr="00AB6992">
        <w:t xml:space="preserve">under Youth Justice </w:t>
      </w:r>
      <w:r w:rsidR="00A24455" w:rsidRPr="00AB6992">
        <w:t xml:space="preserve">Services </w:t>
      </w:r>
      <w:r w:rsidR="00645A89" w:rsidRPr="00AB6992">
        <w:t>supervision</w:t>
      </w:r>
      <w:r w:rsidRPr="00AB6992">
        <w:t>. The project</w:t>
      </w:r>
      <w:r w:rsidRPr="00D92C8B">
        <w:t xml:space="preserve"> investigated intellectual functioning, expressive and receptive language, visual motor processing, executive functioning, sensory processing, criminogenic need and mental health.</w:t>
      </w:r>
    </w:p>
    <w:p w14:paraId="3352EEA7" w14:textId="3D235EE2" w:rsidR="0053412E" w:rsidRPr="00B54128" w:rsidRDefault="0053412E" w:rsidP="008A159A">
      <w:pPr>
        <w:pStyle w:val="InitiativesBody"/>
      </w:pPr>
      <w:r>
        <w:t>N</w:t>
      </w:r>
      <w:r w:rsidRPr="00B54128">
        <w:t xml:space="preserve">ine out </w:t>
      </w:r>
      <w:r w:rsidR="0076096B">
        <w:t xml:space="preserve">of </w:t>
      </w:r>
      <w:r w:rsidRPr="00B54128">
        <w:t xml:space="preserve">ten young people were </w:t>
      </w:r>
      <w:r>
        <w:t xml:space="preserve">found to be </w:t>
      </w:r>
      <w:r w:rsidRPr="00B54128">
        <w:t>at risk for language disorder</w:t>
      </w:r>
      <w:r w:rsidR="00E7350D">
        <w:t>,</w:t>
      </w:r>
      <w:r w:rsidRPr="00B54128">
        <w:t xml:space="preserve"> below average for intellectual functioning, and at moderate or high risk of reoffending. </w:t>
      </w:r>
    </w:p>
    <w:p w14:paraId="2302E51B" w14:textId="77777777" w:rsidR="000E6DF2" w:rsidRDefault="00A24455" w:rsidP="008A159A">
      <w:pPr>
        <w:pStyle w:val="InitiativesBody"/>
      </w:pPr>
      <w:r>
        <w:t>The project</w:t>
      </w:r>
      <w:r w:rsidR="4EDA46C9" w:rsidRPr="00D92C8B">
        <w:t xml:space="preserve"> identified multiple areas of disability-related need, and high levels of criminogenic risk and need, </w:t>
      </w:r>
      <w:proofErr w:type="gramStart"/>
      <w:r w:rsidR="4EDA46C9" w:rsidRPr="00D92C8B">
        <w:t>all of</w:t>
      </w:r>
      <w:proofErr w:type="gramEnd"/>
      <w:r w:rsidR="4EDA46C9" w:rsidRPr="00D92C8B">
        <w:t xml:space="preserve"> which impact on service engagement, service delivery and therapeutic activities within young people’s case plans. </w:t>
      </w:r>
    </w:p>
    <w:p w14:paraId="32B80361" w14:textId="2E387253" w:rsidR="000F43E2" w:rsidRPr="00635705" w:rsidRDefault="4EDA46C9" w:rsidP="004E784C">
      <w:pPr>
        <w:pStyle w:val="Heading3"/>
      </w:pPr>
      <w:r w:rsidRPr="00635705">
        <w:t>To promote young people’s wellbeing, we will:</w:t>
      </w:r>
    </w:p>
    <w:p w14:paraId="75655943" w14:textId="3C932871" w:rsidR="000F43E2" w:rsidRPr="007F537B" w:rsidRDefault="4EDA46C9" w:rsidP="00177A29">
      <w:pPr>
        <w:pStyle w:val="Bullet-Numbered"/>
        <w:ind w:left="426" w:hanging="342"/>
        <w:rPr>
          <w:rStyle w:val="normaltextrun"/>
        </w:rPr>
      </w:pPr>
      <w:r w:rsidRPr="00CC4D10">
        <w:rPr>
          <w:rStyle w:val="normaltextrun"/>
        </w:rPr>
        <w:t>Continue delivering on actions in line with recommendations from the Ombudsman SA and Training Centre Visitor, including</w:t>
      </w:r>
      <w:r w:rsidR="00177A29">
        <w:rPr>
          <w:rStyle w:val="normaltextrun"/>
        </w:rPr>
        <w:t>:</w:t>
      </w:r>
    </w:p>
    <w:p w14:paraId="609E3B52" w14:textId="6995A14F" w:rsidR="000F43E2" w:rsidRPr="00F70CD1" w:rsidRDefault="4EDA46C9" w:rsidP="00177A29">
      <w:pPr>
        <w:pStyle w:val="Bullet-letter-indent"/>
        <w:ind w:left="993" w:hanging="517"/>
        <w:rPr>
          <w:rStyle w:val="normaltextrun"/>
        </w:rPr>
      </w:pPr>
      <w:r w:rsidRPr="007F537B">
        <w:rPr>
          <w:rStyle w:val="normaltextrun"/>
        </w:rPr>
        <w:t>Ceasing the use of resident</w:t>
      </w:r>
      <w:r w:rsidR="00635705">
        <w:rPr>
          <w:rStyle w:val="normaltextrun"/>
        </w:rPr>
        <w:t>-</w:t>
      </w:r>
      <w:r w:rsidRPr="007F537B">
        <w:rPr>
          <w:rStyle w:val="normaltextrun"/>
        </w:rPr>
        <w:t xml:space="preserve">worn spit protection at </w:t>
      </w:r>
      <w:r w:rsidR="00CB0789" w:rsidRPr="5BB17B76">
        <w:t>Kurlana Tapa Youth Justice Centre</w:t>
      </w:r>
      <w:r w:rsidRPr="007F537B">
        <w:rPr>
          <w:rStyle w:val="normaltextrun"/>
        </w:rPr>
        <w:t xml:space="preserve"> </w:t>
      </w:r>
    </w:p>
    <w:p w14:paraId="3E59F113" w14:textId="39EBE0E3" w:rsidR="000F43E2" w:rsidRPr="00F70CD1" w:rsidRDefault="4EDA46C9" w:rsidP="00177A29">
      <w:pPr>
        <w:pStyle w:val="Bullet-letter-indent"/>
        <w:ind w:left="993" w:hanging="517"/>
        <w:rPr>
          <w:rStyle w:val="normaltextrun"/>
        </w:rPr>
      </w:pPr>
      <w:r w:rsidRPr="007F537B">
        <w:rPr>
          <w:rStyle w:val="normaltextrun"/>
        </w:rPr>
        <w:t>Reviewing the use of isolation, segregation and force (including mechanical restraint)</w:t>
      </w:r>
    </w:p>
    <w:p w14:paraId="458664B9" w14:textId="177F15C3" w:rsidR="000F43E2" w:rsidRPr="00F70CD1" w:rsidRDefault="4EDA46C9" w:rsidP="00177A29">
      <w:pPr>
        <w:pStyle w:val="Bullet-letter-indent"/>
        <w:ind w:left="993" w:hanging="517"/>
        <w:rPr>
          <w:rStyle w:val="normaltextrun"/>
        </w:rPr>
      </w:pPr>
      <w:r w:rsidRPr="007F537B">
        <w:rPr>
          <w:rStyle w:val="normaltextrun"/>
        </w:rPr>
        <w:t>Implementing alternatives to partially clothed searches, so that these are a last resort</w:t>
      </w:r>
    </w:p>
    <w:p w14:paraId="65D2E07C" w14:textId="6205083B" w:rsidR="6049477D" w:rsidRPr="00F70CD1" w:rsidRDefault="4EDA46C9" w:rsidP="00177A29">
      <w:pPr>
        <w:pStyle w:val="Bullet-letter-indent"/>
        <w:ind w:left="993" w:hanging="517"/>
        <w:rPr>
          <w:rStyle w:val="normaltextrun"/>
        </w:rPr>
      </w:pPr>
      <w:r w:rsidRPr="007F537B">
        <w:rPr>
          <w:rStyle w:val="normaltextrun"/>
        </w:rPr>
        <w:t>Improving incident review and client feedback processes</w:t>
      </w:r>
    </w:p>
    <w:p w14:paraId="3ACAF824" w14:textId="3C2E12E9" w:rsidR="6049477D" w:rsidRPr="00F70CD1" w:rsidRDefault="4EDA46C9" w:rsidP="00177A29">
      <w:pPr>
        <w:pStyle w:val="Bullet-letter-indent"/>
        <w:ind w:left="993" w:hanging="517"/>
        <w:rPr>
          <w:rStyle w:val="normaltextrun"/>
        </w:rPr>
      </w:pPr>
      <w:r w:rsidRPr="007F537B">
        <w:rPr>
          <w:rStyle w:val="normaltextrun"/>
        </w:rPr>
        <w:t xml:space="preserve">Ensuring supports for </w:t>
      </w:r>
      <w:r w:rsidR="00FE3499" w:rsidRPr="007F537B">
        <w:rPr>
          <w:rStyle w:val="normaltextrun"/>
        </w:rPr>
        <w:t xml:space="preserve">children and </w:t>
      </w:r>
      <w:r w:rsidRPr="007F537B">
        <w:rPr>
          <w:rStyle w:val="normaltextrun"/>
        </w:rPr>
        <w:t>young people are inclusive.</w:t>
      </w:r>
    </w:p>
    <w:p w14:paraId="595BCCCD" w14:textId="1B46C2D8" w:rsidR="000F43E2" w:rsidRPr="00F70CD1" w:rsidRDefault="4EDA46C9" w:rsidP="00177A29">
      <w:pPr>
        <w:pStyle w:val="Bullet-Numbered"/>
        <w:ind w:left="426" w:hanging="342"/>
        <w:rPr>
          <w:rStyle w:val="normaltextrun"/>
        </w:rPr>
      </w:pPr>
      <w:r w:rsidRPr="00F70CD1">
        <w:rPr>
          <w:rStyle w:val="normaltextrun"/>
        </w:rPr>
        <w:t>Develop and deliver a consolidated Programs Framework and Delivery Plan in partnership with the sector that addresses areas of priority needs and support.</w:t>
      </w:r>
      <w:r w:rsidR="008A159A">
        <w:rPr>
          <w:rStyle w:val="normaltextrun"/>
        </w:rPr>
        <w:t xml:space="preserve"> </w:t>
      </w:r>
      <w:r w:rsidRPr="007F537B">
        <w:rPr>
          <w:rStyle w:val="normaltextrun"/>
        </w:rPr>
        <w:t> </w:t>
      </w:r>
    </w:p>
    <w:p w14:paraId="0B20C723" w14:textId="0FC34C05" w:rsidR="000F43E2" w:rsidRPr="00F70CD1" w:rsidRDefault="4EDA46C9" w:rsidP="00177A29">
      <w:pPr>
        <w:pStyle w:val="Bullet-Numbered"/>
        <w:ind w:left="426" w:hanging="342"/>
        <w:rPr>
          <w:rStyle w:val="normaltextrun"/>
        </w:rPr>
      </w:pPr>
      <w:r w:rsidRPr="00F70CD1">
        <w:rPr>
          <w:rStyle w:val="normaltextrun"/>
        </w:rPr>
        <w:t>Implement improvements identified in the Youth Justice Assessment and Intervention Services Disability Screening project, to ensure assessment and intervention needs are met in a timely manner.</w:t>
      </w:r>
    </w:p>
    <w:p w14:paraId="1E7E3C92" w14:textId="10B096A9" w:rsidR="009B6C48" w:rsidRPr="00F70CD1" w:rsidRDefault="4EDA46C9" w:rsidP="00177A29">
      <w:pPr>
        <w:pStyle w:val="Bullet-Numbered"/>
        <w:ind w:left="426" w:hanging="342"/>
        <w:rPr>
          <w:rStyle w:val="normaltextrun"/>
        </w:rPr>
      </w:pPr>
      <w:r w:rsidRPr="00F70CD1">
        <w:rPr>
          <w:rStyle w:val="normaltextrun"/>
        </w:rPr>
        <w:t>Design and implement a revised assessment approach incorporating information sharing between agencies, including specifically considering the needs of Aboriginal young people, young people with disability, LGBTIQA+ people, people from CALD backgrounds, individual criminogenic risk</w:t>
      </w:r>
      <w:r w:rsidR="00926E66" w:rsidRPr="00F70CD1">
        <w:rPr>
          <w:rStyle w:val="normaltextrun"/>
        </w:rPr>
        <w:t xml:space="preserve">s </w:t>
      </w:r>
      <w:r w:rsidRPr="00F70CD1">
        <w:rPr>
          <w:rStyle w:val="normaltextrun"/>
        </w:rPr>
        <w:t>and need</w:t>
      </w:r>
      <w:r w:rsidR="00C60C45" w:rsidRPr="00F70CD1">
        <w:rPr>
          <w:rStyle w:val="normaltextrun"/>
        </w:rPr>
        <w:t>s</w:t>
      </w:r>
      <w:r w:rsidRPr="00F70CD1">
        <w:rPr>
          <w:rStyle w:val="normaltextrun"/>
        </w:rPr>
        <w:t>, past trauma</w:t>
      </w:r>
      <w:r w:rsidR="69FF1773" w:rsidRPr="00F70CD1">
        <w:rPr>
          <w:rStyle w:val="normaltextrun"/>
        </w:rPr>
        <w:t>,</w:t>
      </w:r>
      <w:r w:rsidR="008A159A">
        <w:rPr>
          <w:rStyle w:val="normaltextrun"/>
        </w:rPr>
        <w:t xml:space="preserve"> </w:t>
      </w:r>
      <w:r w:rsidRPr="00F70CD1">
        <w:rPr>
          <w:rStyle w:val="normaltextrun"/>
        </w:rPr>
        <w:t>learning need</w:t>
      </w:r>
      <w:r w:rsidR="00D61332" w:rsidRPr="00F70CD1">
        <w:rPr>
          <w:rStyle w:val="normaltextrun"/>
        </w:rPr>
        <w:t>s</w:t>
      </w:r>
      <w:r w:rsidR="2E3E71F1" w:rsidRPr="00F70CD1">
        <w:rPr>
          <w:rStyle w:val="normaltextrun"/>
        </w:rPr>
        <w:t>, and understanding the impact of crime</w:t>
      </w:r>
      <w:r w:rsidRPr="00F70CD1">
        <w:rPr>
          <w:rStyle w:val="normaltextrun"/>
        </w:rPr>
        <w:t>.</w:t>
      </w:r>
    </w:p>
    <w:p w14:paraId="72E72BD0" w14:textId="17236075" w:rsidR="00C34D6B" w:rsidRPr="008A159A" w:rsidRDefault="4EDA46C9" w:rsidP="00CB0789">
      <w:pPr>
        <w:pStyle w:val="Bullet-Numbered"/>
        <w:ind w:left="426" w:hanging="342"/>
        <w:rPr>
          <w:rStyle w:val="normaltextrun"/>
          <w:rFonts w:eastAsia="Times New Roman"/>
          <w:shd w:val="clear" w:color="auto" w:fill="FFFF00"/>
          <w:lang w:eastAsia="en-AU"/>
        </w:rPr>
      </w:pPr>
      <w:r w:rsidRPr="00F70CD1">
        <w:rPr>
          <w:rStyle w:val="normaltextrun"/>
        </w:rPr>
        <w:t>Work with service partners to formalise, resource, monitor and review connections with existing family-focused programs and services, including those specifically designed for young parents and family engagement.</w:t>
      </w:r>
    </w:p>
    <w:p w14:paraId="475619D4" w14:textId="2988C812" w:rsidR="00C34D6B" w:rsidRPr="00CD319A" w:rsidRDefault="00C34D6B" w:rsidP="00D82F62">
      <w:pPr>
        <w:pStyle w:val="Heading2"/>
        <w:rPr>
          <w:rStyle w:val="normaltextrun"/>
        </w:rPr>
      </w:pPr>
      <w:bookmarkStart w:id="11" w:name="_Toc40782126"/>
      <w:r w:rsidRPr="00CD319A">
        <w:lastRenderedPageBreak/>
        <w:t>Workforce stability and investment</w:t>
      </w:r>
      <w:bookmarkEnd w:id="11"/>
    </w:p>
    <w:p w14:paraId="560211EB" w14:textId="297C683D" w:rsidR="00C34D6B" w:rsidRPr="00D73D26" w:rsidRDefault="00C34D6B" w:rsidP="00D82F62">
      <w:pPr>
        <w:pStyle w:val="block-quote"/>
        <w:rPr>
          <w:rStyle w:val="normaltextrun"/>
          <w:rFonts w:ascii="Calibri" w:eastAsia="Calibri" w:hAnsi="Calibri"/>
          <w:bCs/>
          <w:iCs w:val="0"/>
          <w:color w:val="1F4E79" w:themeColor="accent5" w:themeShade="80"/>
        </w:rPr>
      </w:pPr>
      <w:r w:rsidRPr="00F71C20">
        <w:t>“As per trauma-informed practice, providing training to individual staff members and teams related to 'informed' and better practice will only have minimal impact unless the systems, processes and environment are also changed to support this practice”</w:t>
      </w:r>
      <w:r w:rsidR="000D0E30">
        <w:t xml:space="preserve"> —</w:t>
      </w:r>
      <w:r w:rsidRPr="00D73D26">
        <w:t xml:space="preserve"> Youth Justice staff member</w:t>
      </w:r>
    </w:p>
    <w:p w14:paraId="5A0CBCFF" w14:textId="48028DC4" w:rsidR="00C34D6B" w:rsidRPr="000D0E30" w:rsidRDefault="00C34D6B" w:rsidP="000D0E30">
      <w:pPr>
        <w:pStyle w:val="Shared-Value"/>
      </w:pPr>
      <w:r w:rsidRPr="000D0E30">
        <w:t>Shared Value</w:t>
      </w:r>
      <w:r w:rsidR="00E80CAF" w:rsidRPr="000D0E30">
        <w:t xml:space="preserve">: </w:t>
      </w:r>
      <w:r w:rsidRPr="000D0E30">
        <w:t>We equip our people to understand and support young people, their needs, networks and culture. </w:t>
      </w:r>
    </w:p>
    <w:p w14:paraId="71FF6D29" w14:textId="0A460671" w:rsidR="00C34D6B" w:rsidRPr="00F70CD1" w:rsidRDefault="00C34D6B" w:rsidP="00D82F62">
      <w:pPr>
        <w:rPr>
          <w:rStyle w:val="normaltextrun"/>
        </w:rPr>
      </w:pPr>
      <w:r w:rsidRPr="00F70CD1">
        <w:rPr>
          <w:rStyle w:val="normaltextrun"/>
        </w:rPr>
        <w:t xml:space="preserve">An effective system delivering positive outcomes for </w:t>
      </w:r>
      <w:r w:rsidR="00FE3499">
        <w:rPr>
          <w:rStyle w:val="normaltextrun"/>
        </w:rPr>
        <w:t xml:space="preserve">children and </w:t>
      </w:r>
      <w:r w:rsidRPr="00F70CD1">
        <w:rPr>
          <w:rStyle w:val="normaltextrun"/>
        </w:rPr>
        <w:t xml:space="preserve">young people is reliant on having a safe, well-trained and motivated workforce. Staff have told us that, to achieve this, we must provide more professional development, training and mobility opportunities, and methods to strengthen relationships across agencies. </w:t>
      </w:r>
    </w:p>
    <w:p w14:paraId="44D128CB" w14:textId="7E970414" w:rsidR="00130DEE" w:rsidRPr="00F70CD1" w:rsidRDefault="00C34D6B" w:rsidP="00D82F62">
      <w:r w:rsidRPr="00F70CD1">
        <w:rPr>
          <w:rStyle w:val="normaltextrun"/>
        </w:rPr>
        <w:t>The</w:t>
      </w:r>
      <w:r w:rsidR="00645A89" w:rsidRPr="00F70CD1">
        <w:rPr>
          <w:rStyle w:val="normaltextrun"/>
        </w:rPr>
        <w:t xml:space="preserve"> work our staff do is complex</w:t>
      </w:r>
      <w:r w:rsidR="00FE3499">
        <w:rPr>
          <w:rStyle w:val="normaltextrun"/>
        </w:rPr>
        <w:t>. T</w:t>
      </w:r>
      <w:r w:rsidR="00645A89" w:rsidRPr="00F70CD1">
        <w:rPr>
          <w:rStyle w:val="normaltextrun"/>
        </w:rPr>
        <w:t>he</w:t>
      </w:r>
      <w:r w:rsidRPr="00F70CD1">
        <w:rPr>
          <w:rStyle w:val="normaltextrun"/>
        </w:rPr>
        <w:t>re is an inherent challenge in providing statutory services</w:t>
      </w:r>
      <w:r w:rsidR="00645A89" w:rsidRPr="00F70CD1">
        <w:rPr>
          <w:rStyle w:val="normaltextrun"/>
        </w:rPr>
        <w:t xml:space="preserve">, </w:t>
      </w:r>
      <w:r w:rsidRPr="00F70CD1">
        <w:rPr>
          <w:rStyle w:val="normaltextrun"/>
        </w:rPr>
        <w:t xml:space="preserve">while meeting complex safety and security needs. </w:t>
      </w:r>
      <w:r w:rsidR="009C48FD" w:rsidRPr="00F70CD1">
        <w:t>According to the Harvard Business Review (</w:t>
      </w:r>
      <w:r w:rsidR="00BB5477" w:rsidRPr="00F70CD1">
        <w:t>Gaffe</w:t>
      </w:r>
      <w:r w:rsidR="009C48FD" w:rsidRPr="00F70CD1">
        <w:t xml:space="preserve"> &amp; Jones, 2013), the best employers are those which support individuality, foster clear and honest communication, build on staff strengths, use values to foster workplace pride, meaningful work, and simple and fair rules. </w:t>
      </w:r>
      <w:r w:rsidR="009C48FD" w:rsidRPr="00F70CD1">
        <w:rPr>
          <w:rStyle w:val="normaltextrun"/>
        </w:rPr>
        <w:t>In order to continuously improve how we identify and respond in our environment, we need clear, effective and accountable procedures and systems.</w:t>
      </w:r>
      <w:r w:rsidR="008A159A">
        <w:rPr>
          <w:rStyle w:val="normaltextrun"/>
        </w:rPr>
        <w:t xml:space="preserve"> </w:t>
      </w:r>
      <w:r w:rsidR="009C48FD" w:rsidRPr="00F70CD1">
        <w:rPr>
          <w:rStyle w:val="normaltextrun"/>
        </w:rPr>
        <w:t>This includes having a strong ‘business model’: a staffing structure with clear areas of responsibility and governance. It also relies on listening to the voices of staff and stakeholders to help us continuously improve and innovate, in partnership.</w:t>
      </w:r>
    </w:p>
    <w:p w14:paraId="0A748EC8" w14:textId="77777777" w:rsidR="002E0041" w:rsidRPr="00574661" w:rsidRDefault="002E0041" w:rsidP="004E784C">
      <w:pPr>
        <w:pStyle w:val="Heading3"/>
      </w:pPr>
      <w:r w:rsidRPr="00574661">
        <w:t>Initiatives underway</w:t>
      </w:r>
    </w:p>
    <w:p w14:paraId="51E290CC" w14:textId="2EE40D9E" w:rsidR="009C48FD" w:rsidRPr="00F70CD1" w:rsidRDefault="009C48FD" w:rsidP="008A159A">
      <w:pPr>
        <w:pStyle w:val="InitiativesBody"/>
      </w:pPr>
      <w:r w:rsidRPr="00F70CD1">
        <w:t>In 2019, DHS commenced rollout of the TeamGage tool. This</w:t>
      </w:r>
      <w:r w:rsidR="000D0E30">
        <w:t> </w:t>
      </w:r>
      <w:r w:rsidRPr="00F70CD1">
        <w:t xml:space="preserve">tool provides employees across the department with the opportunity to provide anonymous feedback related to six core metrics. The monthly survey is quick and easy, able be completed in only two minutes. The metrics chosen for feedback directly related to areas identified for improvement through an early whole of government survey called </w:t>
      </w:r>
      <w:r w:rsidRPr="000D0E30">
        <w:rPr>
          <w:i/>
          <w:iCs/>
        </w:rPr>
        <w:t>Your Voice</w:t>
      </w:r>
      <w:r w:rsidRPr="00F70CD1">
        <w:t>, coordinated by the Office for the Commissioner for the Public Sector.</w:t>
      </w:r>
      <w:r w:rsidR="008A159A">
        <w:t xml:space="preserve"> </w:t>
      </w:r>
      <w:r w:rsidRPr="00F70CD1">
        <w:t xml:space="preserve">The </w:t>
      </w:r>
      <w:proofErr w:type="gramStart"/>
      <w:r w:rsidRPr="00F70CD1">
        <w:t>six core</w:t>
      </w:r>
      <w:proofErr w:type="gramEnd"/>
      <w:r w:rsidRPr="00F70CD1">
        <w:t xml:space="preserve"> metrics are: Communication, Innovation, Trust, Collaboration, Fulfillment and Impact. This tool will be a critical part of monitoring staff feedback to inform our continuous improvement approach.</w:t>
      </w:r>
    </w:p>
    <w:p w14:paraId="5B3A167C" w14:textId="77777777" w:rsidR="008A159A" w:rsidRDefault="00C34D6B" w:rsidP="00D82F62">
      <w:pPr>
        <w:rPr>
          <w:rStyle w:val="normaltextrun"/>
        </w:rPr>
      </w:pPr>
      <w:r w:rsidRPr="00F70CD1">
        <w:rPr>
          <w:rStyle w:val="normaltextrun"/>
        </w:rPr>
        <w:t>Attraction and retention of skilled and knowledgeable staff across all levels remains an ongoing area of focus. Aboriginal staff are critical for engaging with</w:t>
      </w:r>
      <w:r w:rsidR="002E0041" w:rsidRPr="00F70CD1">
        <w:rPr>
          <w:rStyle w:val="normaltextrun"/>
        </w:rPr>
        <w:t>,</w:t>
      </w:r>
      <w:r w:rsidRPr="00F70CD1">
        <w:rPr>
          <w:rStyle w:val="normaltextrun"/>
        </w:rPr>
        <w:t xml:space="preserve"> and delivering positive outcomes for</w:t>
      </w:r>
      <w:r w:rsidR="002E0041" w:rsidRPr="00F70CD1">
        <w:rPr>
          <w:rStyle w:val="normaltextrun"/>
        </w:rPr>
        <w:t>,</w:t>
      </w:r>
      <w:r w:rsidRPr="00F70CD1">
        <w:rPr>
          <w:rStyle w:val="normaltextrun"/>
        </w:rPr>
        <w:t xml:space="preserve"> Aboriginal </w:t>
      </w:r>
      <w:r w:rsidR="006363E5">
        <w:rPr>
          <w:rStyle w:val="normaltextrun"/>
        </w:rPr>
        <w:t xml:space="preserve">children and </w:t>
      </w:r>
      <w:r w:rsidRPr="00F70CD1">
        <w:rPr>
          <w:rStyle w:val="normaltextrun"/>
        </w:rPr>
        <w:t xml:space="preserve">young people, therefore improved Aboriginal training and employment pathways are required. </w:t>
      </w:r>
    </w:p>
    <w:p w14:paraId="2CDF80FE" w14:textId="5E7D67B7" w:rsidR="00C34D6B" w:rsidRPr="00F70CD1" w:rsidRDefault="00C34D6B" w:rsidP="00D82F62">
      <w:pPr>
        <w:rPr>
          <w:rStyle w:val="normaltextrun"/>
        </w:rPr>
      </w:pPr>
      <w:r w:rsidRPr="00F70CD1">
        <w:rPr>
          <w:rStyle w:val="normaltextrun"/>
        </w:rPr>
        <w:lastRenderedPageBreak/>
        <w:t xml:space="preserve">Cultural expertise must be valued akin to professional expertise. Building an Aboriginal workforce would further develop the cultural understanding of non-Aboriginal staff to better meet the needs and aspirations of Aboriginal children and young people. </w:t>
      </w:r>
    </w:p>
    <w:p w14:paraId="43A1A1BF" w14:textId="77777777" w:rsidR="00C34D6B" w:rsidRPr="00635705" w:rsidRDefault="00C34D6B" w:rsidP="004E784C">
      <w:pPr>
        <w:pStyle w:val="Heading3"/>
      </w:pPr>
      <w:r w:rsidRPr="00635705">
        <w:t>To invest in our staff, we will:</w:t>
      </w:r>
    </w:p>
    <w:p w14:paraId="2AC707E9" w14:textId="7945CA10" w:rsidR="00C34D6B" w:rsidRPr="000D0E30" w:rsidRDefault="00C34D6B" w:rsidP="000D0E30">
      <w:pPr>
        <w:pStyle w:val="Bullet-Numbered"/>
        <w:numPr>
          <w:ilvl w:val="0"/>
          <w:numId w:val="25"/>
        </w:numPr>
        <w:ind w:left="426"/>
      </w:pPr>
      <w:r w:rsidRPr="000D0E30">
        <w:t>Implement a new staffing structure, with clearer areas of responsibility and governance for Youth Justice. </w:t>
      </w:r>
    </w:p>
    <w:p w14:paraId="30874239" w14:textId="19ABB123" w:rsidR="00C34D6B" w:rsidRPr="000D0E30" w:rsidRDefault="00C34D6B" w:rsidP="000D0E30">
      <w:pPr>
        <w:pStyle w:val="Bullet-Numbered"/>
        <w:numPr>
          <w:ilvl w:val="0"/>
          <w:numId w:val="25"/>
        </w:numPr>
        <w:ind w:left="426"/>
      </w:pPr>
      <w:r w:rsidRPr="000D0E30">
        <w:t>Increase recruitment and retention of Aboriginal staff in Youth Justice</w:t>
      </w:r>
      <w:r w:rsidR="00EC2A2D" w:rsidRPr="000D0E30">
        <w:t>.</w:t>
      </w:r>
    </w:p>
    <w:p w14:paraId="5004509C" w14:textId="77777777" w:rsidR="00C34D6B" w:rsidRPr="000D0E30" w:rsidRDefault="00C34D6B" w:rsidP="000D0E30">
      <w:pPr>
        <w:pStyle w:val="Bullet-Numbered"/>
        <w:numPr>
          <w:ilvl w:val="0"/>
          <w:numId w:val="25"/>
        </w:numPr>
        <w:ind w:left="426"/>
      </w:pPr>
      <w:r w:rsidRPr="000D0E30">
        <w:t>Review internal staff communication processes to identify opportunities for improving information sharing, learning and development and staff engagement.</w:t>
      </w:r>
    </w:p>
    <w:p w14:paraId="50954A96" w14:textId="12A9D05B" w:rsidR="00C34D6B" w:rsidRPr="000D0E30" w:rsidRDefault="00C34D6B" w:rsidP="000D0E30">
      <w:pPr>
        <w:pStyle w:val="Bullet-Numbered"/>
        <w:numPr>
          <w:ilvl w:val="0"/>
          <w:numId w:val="25"/>
        </w:numPr>
        <w:ind w:left="426"/>
      </w:pPr>
      <w:r w:rsidRPr="000D0E30">
        <w:t xml:space="preserve">Implement an enhanced training agenda for staff including priority focus in the areas of trauma responsiveness, cultural </w:t>
      </w:r>
      <w:r w:rsidR="00333587" w:rsidRPr="000D0E30">
        <w:t>safety</w:t>
      </w:r>
      <w:r w:rsidRPr="000D0E30">
        <w:t xml:space="preserve">, </w:t>
      </w:r>
      <w:r w:rsidR="00497E46" w:rsidRPr="000D0E30">
        <w:t>Aboriginal languages</w:t>
      </w:r>
      <w:r w:rsidRPr="000D0E30">
        <w:t>, disability, substance misuse and family inclusive practice.</w:t>
      </w:r>
    </w:p>
    <w:p w14:paraId="0A5B3523" w14:textId="2AC2CEEE" w:rsidR="00C34D6B" w:rsidRPr="000D0E30" w:rsidRDefault="00C34D6B" w:rsidP="000D0E30">
      <w:pPr>
        <w:pStyle w:val="Bullet-Numbered"/>
        <w:numPr>
          <w:ilvl w:val="0"/>
          <w:numId w:val="25"/>
        </w:numPr>
        <w:ind w:left="426"/>
      </w:pPr>
      <w:r w:rsidRPr="000D0E30">
        <w:t xml:space="preserve">Invest in modern technologies, such as body scanners and body worn cameras, to strengthen safety and security of staff and young people at </w:t>
      </w:r>
      <w:r w:rsidR="00CB0789" w:rsidRPr="5BB17B76">
        <w:t>Kurlana Tapa Youth Justice Centre</w:t>
      </w:r>
      <w:r w:rsidRPr="000D0E30">
        <w:t>.</w:t>
      </w:r>
    </w:p>
    <w:p w14:paraId="68122E9E" w14:textId="7F89558A" w:rsidR="00C34D6B" w:rsidRPr="000D0E30" w:rsidRDefault="002E0041" w:rsidP="000D0E30">
      <w:pPr>
        <w:pStyle w:val="Bullet-Numbered"/>
        <w:numPr>
          <w:ilvl w:val="0"/>
          <w:numId w:val="25"/>
        </w:numPr>
        <w:ind w:left="426"/>
      </w:pPr>
      <w:r w:rsidRPr="000D0E30">
        <w:t>Deliver</w:t>
      </w:r>
      <w:r w:rsidR="00C34D6B" w:rsidRPr="000D0E30">
        <w:t xml:space="preserve"> evidence-based models of therapeutic care which incorporate specialist allied health expertise. </w:t>
      </w:r>
    </w:p>
    <w:p w14:paraId="1C93585D" w14:textId="77777777" w:rsidR="00C34D6B" w:rsidRPr="000D0E30" w:rsidRDefault="00C34D6B" w:rsidP="000D0E30">
      <w:pPr>
        <w:pStyle w:val="Bullet-Numbered"/>
        <w:numPr>
          <w:ilvl w:val="0"/>
          <w:numId w:val="25"/>
        </w:numPr>
        <w:ind w:left="426"/>
      </w:pPr>
      <w:r w:rsidRPr="000D0E30">
        <w:t xml:space="preserve">Contribute to a Communities of Practice approach, where skills and knowledge are shared among service partners. </w:t>
      </w:r>
    </w:p>
    <w:p w14:paraId="5BB1B004" w14:textId="77777777" w:rsidR="00C34D6B" w:rsidRPr="000D0E30" w:rsidRDefault="00C34D6B" w:rsidP="000D0E30">
      <w:pPr>
        <w:pStyle w:val="Bullet-Numbered"/>
        <w:numPr>
          <w:ilvl w:val="0"/>
          <w:numId w:val="25"/>
        </w:numPr>
        <w:ind w:left="426"/>
      </w:pPr>
      <w:r w:rsidRPr="000D0E30">
        <w:t xml:space="preserve">Build capacity and staff morale through improving formalised development pathways for all staff, shared professional development opportunities, mobility options, formalised staff recognition and capability mapping. </w:t>
      </w:r>
    </w:p>
    <w:p w14:paraId="4ABA6730" w14:textId="77777777" w:rsidR="00C34D6B" w:rsidRPr="00F70CD1" w:rsidRDefault="00C34D6B" w:rsidP="00D82F62">
      <w:pPr>
        <w:rPr>
          <w:rStyle w:val="normaltextrun"/>
          <w:rFonts w:cs="Calibri"/>
        </w:rPr>
      </w:pPr>
    </w:p>
    <w:p w14:paraId="589CCE9C" w14:textId="77D0281A" w:rsidR="00C34D6B" w:rsidRPr="00F70CD1" w:rsidRDefault="00C34D6B" w:rsidP="00D82F62">
      <w:pPr>
        <w:pStyle w:val="paragraph"/>
        <w:rPr>
          <w:rStyle w:val="normaltextrun"/>
          <w:rFonts w:asciiTheme="minorHAnsi" w:hAnsiTheme="minorHAnsi" w:cs="Calibri"/>
        </w:rPr>
      </w:pPr>
    </w:p>
    <w:p w14:paraId="079F6B07" w14:textId="52A3824C" w:rsidR="002E0041" w:rsidRPr="00F70CD1" w:rsidRDefault="002E0041" w:rsidP="00D82F62">
      <w:pPr>
        <w:rPr>
          <w:rStyle w:val="normaltextrun"/>
          <w:rFonts w:eastAsia="Times New Roman" w:cs="Calibri"/>
          <w:lang w:eastAsia="en-AU"/>
        </w:rPr>
      </w:pPr>
      <w:r w:rsidRPr="00F70CD1">
        <w:rPr>
          <w:rStyle w:val="normaltextrun"/>
          <w:rFonts w:cs="Calibri"/>
        </w:rPr>
        <w:br w:type="page"/>
      </w:r>
    </w:p>
    <w:p w14:paraId="6F51287C" w14:textId="562DBB8E" w:rsidR="00B107CF" w:rsidRPr="00574661" w:rsidRDefault="47F79402" w:rsidP="00D82F62">
      <w:pPr>
        <w:pStyle w:val="Heading2"/>
      </w:pPr>
      <w:bookmarkStart w:id="12" w:name="_Toc40782127"/>
      <w:r w:rsidRPr="00574661">
        <w:lastRenderedPageBreak/>
        <w:t>Connected services</w:t>
      </w:r>
      <w:bookmarkEnd w:id="12"/>
      <w:r w:rsidRPr="00574661">
        <w:t xml:space="preserve"> </w:t>
      </w:r>
    </w:p>
    <w:p w14:paraId="4550F1AD" w14:textId="7C066F95" w:rsidR="00F71C20" w:rsidRPr="00471F0B" w:rsidRDefault="4EDA46C9" w:rsidP="00D82F62">
      <w:pPr>
        <w:pStyle w:val="block-quote"/>
        <w:rPr>
          <w:rStyle w:val="normaltextrun"/>
        </w:rPr>
      </w:pPr>
      <w:r w:rsidRPr="00471F0B">
        <w:rPr>
          <w:rStyle w:val="eop"/>
        </w:rPr>
        <w:t xml:space="preserve">“I want my worker to come with me to meet my teacher, so I know </w:t>
      </w:r>
      <w:proofErr w:type="gramStart"/>
      <w:r w:rsidRPr="00471F0B">
        <w:rPr>
          <w:rStyle w:val="eop"/>
        </w:rPr>
        <w:t>them</w:t>
      </w:r>
      <w:proofErr w:type="gramEnd"/>
      <w:r w:rsidRPr="00471F0B">
        <w:rPr>
          <w:rStyle w:val="eop"/>
        </w:rPr>
        <w:t xml:space="preserve"> and they know me”</w:t>
      </w:r>
      <w:r w:rsidR="00130DEE" w:rsidRPr="00471F0B">
        <w:rPr>
          <w:rStyle w:val="eop"/>
        </w:rPr>
        <w:t xml:space="preserve"> </w:t>
      </w:r>
      <w:r w:rsidR="00DE3D32">
        <w:rPr>
          <w:rStyle w:val="eop"/>
        </w:rPr>
        <w:t>—</w:t>
      </w:r>
      <w:r w:rsidRPr="00471F0B">
        <w:rPr>
          <w:rStyle w:val="eop"/>
        </w:rPr>
        <w:t xml:space="preserve"> </w:t>
      </w:r>
      <w:r w:rsidRPr="00471F0B">
        <w:rPr>
          <w:rStyle w:val="normaltextrun"/>
        </w:rPr>
        <w:t>Young person under Y</w:t>
      </w:r>
      <w:r w:rsidR="00130DEE" w:rsidRPr="00471F0B">
        <w:rPr>
          <w:rStyle w:val="normaltextrun"/>
        </w:rPr>
        <w:t xml:space="preserve">outh </w:t>
      </w:r>
      <w:r w:rsidRPr="00471F0B">
        <w:rPr>
          <w:rStyle w:val="normaltextrun"/>
        </w:rPr>
        <w:t>J</w:t>
      </w:r>
      <w:r w:rsidR="00130DEE" w:rsidRPr="00471F0B">
        <w:rPr>
          <w:rStyle w:val="normaltextrun"/>
        </w:rPr>
        <w:t>ustice</w:t>
      </w:r>
      <w:r w:rsidR="00471F0B">
        <w:rPr>
          <w:rStyle w:val="normaltextrun"/>
        </w:rPr>
        <w:t xml:space="preserve"> Services</w:t>
      </w:r>
      <w:r w:rsidRPr="00471F0B">
        <w:rPr>
          <w:rStyle w:val="normaltextrun"/>
        </w:rPr>
        <w:t xml:space="preserve"> supervision</w:t>
      </w:r>
    </w:p>
    <w:p w14:paraId="39405FE9" w14:textId="073217CD" w:rsidR="009B6C48" w:rsidRPr="00DE3D32" w:rsidRDefault="4EDA46C9" w:rsidP="00DE3D32">
      <w:pPr>
        <w:pStyle w:val="Shared-Value"/>
      </w:pPr>
      <w:r w:rsidRPr="00DE3D32">
        <w:t>Shared value</w:t>
      </w:r>
      <w:r w:rsidR="00471F0B" w:rsidRPr="00DE3D32">
        <w:t xml:space="preserve">: </w:t>
      </w:r>
      <w:r w:rsidRPr="00DE3D32">
        <w:t>We provide holistic, flexible and connected services to achieve positive lived experiences and lasting outcomes for children and young people, families and communities. </w:t>
      </w:r>
    </w:p>
    <w:p w14:paraId="4B6A0339" w14:textId="5FA670AB" w:rsidR="009C48FD" w:rsidRPr="00F70CD1" w:rsidRDefault="4EDA46C9" w:rsidP="00D82F62">
      <w:pPr>
        <w:rPr>
          <w:rStyle w:val="normaltextrun"/>
          <w:rFonts w:cs="Calibri"/>
        </w:rPr>
      </w:pPr>
      <w:r w:rsidRPr="00F70CD1">
        <w:rPr>
          <w:rStyle w:val="normaltextrun"/>
          <w:rFonts w:cs="Calibri"/>
        </w:rPr>
        <w:t>Children and young people need consistent support and stable one-on-one, trusting relationships with service providers especially at critical times of change</w:t>
      </w:r>
      <w:r w:rsidR="00077E52" w:rsidRPr="00F70CD1">
        <w:rPr>
          <w:rStyle w:val="normaltextrun"/>
          <w:rFonts w:cs="Calibri"/>
        </w:rPr>
        <w:t>,</w:t>
      </w:r>
      <w:r w:rsidRPr="00F70CD1">
        <w:rPr>
          <w:rStyle w:val="normaltextrun"/>
          <w:rFonts w:cs="Calibri"/>
        </w:rPr>
        <w:t xml:space="preserve"> such as when transitioning in and out of </w:t>
      </w:r>
      <w:r w:rsidR="00077E52" w:rsidRPr="00F70CD1">
        <w:rPr>
          <w:rStyle w:val="normaltextrun"/>
          <w:rFonts w:cs="Calibri"/>
        </w:rPr>
        <w:t>custody</w:t>
      </w:r>
      <w:r w:rsidRPr="00F70CD1">
        <w:rPr>
          <w:rStyle w:val="normaltextrun"/>
          <w:rFonts w:cs="Calibri"/>
        </w:rPr>
        <w:t xml:space="preserve">. Through Journey Lab insights, young people and those who work closely with them identified that authentic and ongoing relationships </w:t>
      </w:r>
      <w:r w:rsidR="00130DEE" w:rsidRPr="00F70CD1">
        <w:rPr>
          <w:rStyle w:val="normaltextrun"/>
          <w:rFonts w:cs="Calibri"/>
        </w:rPr>
        <w:t>we</w:t>
      </w:r>
      <w:r w:rsidRPr="00F70CD1">
        <w:rPr>
          <w:rStyle w:val="normaltextrun"/>
          <w:rFonts w:cs="Calibri"/>
        </w:rPr>
        <w:t xml:space="preserve">re a key determinant of better outcomes. </w:t>
      </w:r>
    </w:p>
    <w:p w14:paraId="57C21979" w14:textId="6ED0595D" w:rsidR="009C48FD" w:rsidRPr="00F70CD1" w:rsidRDefault="00130DEE" w:rsidP="00D82F62">
      <w:r w:rsidRPr="00F70CD1">
        <w:t xml:space="preserve">The Youth Justice case management approach is designed to support </w:t>
      </w:r>
      <w:r w:rsidR="006363E5">
        <w:t xml:space="preserve">children and </w:t>
      </w:r>
      <w:r w:rsidRPr="00F70CD1">
        <w:t>young people to make positive choices towards their reintegration into the community. An overwhelming number of contact</w:t>
      </w:r>
      <w:r w:rsidR="00077E52" w:rsidRPr="00F70CD1">
        <w:t>s</w:t>
      </w:r>
      <w:r w:rsidRPr="00F70CD1">
        <w:t xml:space="preserve"> and assessments</w:t>
      </w:r>
      <w:r w:rsidR="00077E52" w:rsidRPr="00F70CD1">
        <w:t>,</w:t>
      </w:r>
      <w:r w:rsidRPr="00F70CD1">
        <w:t xml:space="preserve"> with retelling of one’s story</w:t>
      </w:r>
      <w:r w:rsidR="00077E52" w:rsidRPr="00F70CD1">
        <w:t>,</w:t>
      </w:r>
      <w:r w:rsidRPr="00F70CD1">
        <w:t xml:space="preserve"> can be frustrating and re-traumatising</w:t>
      </w:r>
      <w:r w:rsidR="00077E52" w:rsidRPr="00F70CD1">
        <w:t xml:space="preserve">. According to Journey Lab feedback, </w:t>
      </w:r>
      <w:r w:rsidRPr="00F70CD1">
        <w:t>few professional relationships persist through the critical period following release from custody.</w:t>
      </w:r>
    </w:p>
    <w:p w14:paraId="497F6501" w14:textId="241F48C5" w:rsidR="00077E52" w:rsidRPr="00F70CD1" w:rsidRDefault="4EDA46C9" w:rsidP="00D82F62">
      <w:r w:rsidRPr="00F70CD1">
        <w:t xml:space="preserve">Evidence of the value of connecting services is repeatedly cited by reports, including the </w:t>
      </w:r>
      <w:r w:rsidR="00077E52" w:rsidRPr="00F70CD1">
        <w:t>comprehensive independent review of Victoria’s youth justice system in 2017</w:t>
      </w:r>
      <w:r w:rsidR="00077E52" w:rsidRPr="0055609C">
        <w:rPr>
          <w:rStyle w:val="FootnoteReference"/>
          <w:rFonts w:ascii="Calibri" w:eastAsia="Calibri" w:hAnsi="Calibri" w:cs="Calibri"/>
        </w:rPr>
        <w:footnoteReference w:id="12"/>
      </w:r>
      <w:r w:rsidRPr="00F70CD1">
        <w:t xml:space="preserve">, and via consultation with stakeholders at every level of engagement. This is particularly relevant for services which provide supports beyond the duration of a Youth Justice </w:t>
      </w:r>
      <w:r w:rsidR="00A74DC6">
        <w:t xml:space="preserve">Services </w:t>
      </w:r>
      <w:r w:rsidRPr="00F70CD1">
        <w:t>mandate</w:t>
      </w:r>
      <w:r w:rsidR="00E87742">
        <w:t xml:space="preserve">, </w:t>
      </w:r>
      <w:proofErr w:type="gramStart"/>
      <w:r w:rsidR="00E87742">
        <w:t>in particular the</w:t>
      </w:r>
      <w:proofErr w:type="gramEnd"/>
      <w:r w:rsidR="00E87742">
        <w:t xml:space="preserve"> Department for Child Protection</w:t>
      </w:r>
      <w:r w:rsidR="00DB76C5">
        <w:t>’s service provision for dual clients.</w:t>
      </w:r>
    </w:p>
    <w:p w14:paraId="3B3D974E" w14:textId="37D1FF4D" w:rsidR="00077E52" w:rsidRPr="00F70CD1" w:rsidRDefault="4EDA46C9" w:rsidP="00D82F62">
      <w:pPr>
        <w:rPr>
          <w:rStyle w:val="normaltextrun"/>
          <w:rFonts w:cs="Calibri"/>
        </w:rPr>
      </w:pPr>
      <w:r w:rsidRPr="00F70CD1">
        <w:rPr>
          <w:rStyle w:val="normaltextrun"/>
          <w:rFonts w:cs="Calibri"/>
        </w:rPr>
        <w:t>South Australian legislation supports the principle of detention as a last resort. It is recognised</w:t>
      </w:r>
      <w:r w:rsidR="00974A5C">
        <w:rPr>
          <w:rStyle w:val="normaltextrun"/>
          <w:rFonts w:cs="Calibri"/>
        </w:rPr>
        <w:t xml:space="preserve">, however, </w:t>
      </w:r>
      <w:r w:rsidRPr="00F70CD1">
        <w:rPr>
          <w:rStyle w:val="normaltextrun"/>
          <w:rFonts w:cs="Calibri"/>
        </w:rPr>
        <w:t xml:space="preserve">that at times factors other than the risk of reoffending can influence whether a young person is diverted from more formal forms of justice response. These can include the presence or absence of stable accommodation, supportive relationships and prosocial peers, clear service delivery options to support desistance from offending and school engagement. </w:t>
      </w:r>
    </w:p>
    <w:p w14:paraId="297C1882" w14:textId="6908B603" w:rsidR="009B6C48" w:rsidRPr="00F70CD1" w:rsidRDefault="4EDA46C9" w:rsidP="00D82F62">
      <w:pPr>
        <w:rPr>
          <w:rStyle w:val="normaltextrun"/>
          <w:rFonts w:cs="Calibri"/>
        </w:rPr>
      </w:pPr>
      <w:r w:rsidRPr="00F70CD1">
        <w:rPr>
          <w:rStyle w:val="normaltextrun"/>
          <w:rFonts w:cs="Calibri"/>
        </w:rPr>
        <w:t xml:space="preserve">We know that family, communities and peers play a pivotal role in a </w:t>
      </w:r>
      <w:r w:rsidR="006363E5">
        <w:rPr>
          <w:rStyle w:val="normaltextrun"/>
          <w:rFonts w:cs="Calibri"/>
        </w:rPr>
        <w:t xml:space="preserve">child or </w:t>
      </w:r>
      <w:r w:rsidRPr="00F70CD1">
        <w:rPr>
          <w:rStyle w:val="normaltextrun"/>
          <w:rFonts w:cs="Calibri"/>
        </w:rPr>
        <w:t>young person’s life, and local and accessible supports may be needed to strengthen these relationships. Where there is risk of homelessness, supported accommodation options can provide a place of safety and connection. Solutions also require flexibility</w:t>
      </w:r>
      <w:r w:rsidR="006363E5">
        <w:rPr>
          <w:rStyle w:val="normaltextrun"/>
          <w:rFonts w:cs="Calibri"/>
        </w:rPr>
        <w:t>. S</w:t>
      </w:r>
      <w:r w:rsidRPr="00F70CD1">
        <w:rPr>
          <w:rStyle w:val="normaltextrun"/>
          <w:rFonts w:cs="Calibri"/>
        </w:rPr>
        <w:t xml:space="preserve">ector partners have consistently highlighted the need to work differently with </w:t>
      </w:r>
      <w:r w:rsidR="006363E5" w:rsidRPr="00F70CD1">
        <w:rPr>
          <w:rStyle w:val="normaltextrun"/>
          <w:rFonts w:cs="Calibri"/>
        </w:rPr>
        <w:t>8-</w:t>
      </w:r>
      <w:r w:rsidR="0049563A">
        <w:rPr>
          <w:rStyle w:val="normaltextrun"/>
          <w:rFonts w:cs="Calibri"/>
        </w:rPr>
        <w:t xml:space="preserve"> to </w:t>
      </w:r>
      <w:r w:rsidR="006363E5" w:rsidRPr="00F70CD1">
        <w:rPr>
          <w:rStyle w:val="normaltextrun"/>
          <w:rFonts w:cs="Calibri"/>
        </w:rPr>
        <w:t>14-year-old</w:t>
      </w:r>
      <w:r w:rsidRPr="00F70CD1">
        <w:rPr>
          <w:rStyle w:val="normaltextrun"/>
          <w:rFonts w:cs="Calibri"/>
        </w:rPr>
        <w:t xml:space="preserve"> children and young people.</w:t>
      </w:r>
    </w:p>
    <w:p w14:paraId="2A3F4E02" w14:textId="21AD48B2" w:rsidR="31509B7C" w:rsidRPr="00F70CD1" w:rsidRDefault="4EDA46C9" w:rsidP="00D82F62">
      <w:pPr>
        <w:rPr>
          <w:rStyle w:val="normaltextrun"/>
          <w:rFonts w:cs="Calibri"/>
        </w:rPr>
      </w:pPr>
      <w:r w:rsidRPr="00F70CD1">
        <w:rPr>
          <w:rStyle w:val="normaltextrun"/>
          <w:rFonts w:cs="Calibri"/>
        </w:rPr>
        <w:t>Partnerships across governments provide for effective and appropriate sharing of information to better understand critical points and precursors in a child or young person’s lif</w:t>
      </w:r>
      <w:r w:rsidR="00077E52" w:rsidRPr="00F70CD1">
        <w:rPr>
          <w:rStyle w:val="normaltextrun"/>
          <w:rFonts w:cs="Calibri"/>
        </w:rPr>
        <w:t>e</w:t>
      </w:r>
      <w:r w:rsidRPr="00F70CD1">
        <w:rPr>
          <w:rStyle w:val="normaltextrun"/>
          <w:rFonts w:cs="Calibri"/>
        </w:rPr>
        <w:t xml:space="preserve"> and can be used to inform prevention strategies. </w:t>
      </w:r>
      <w:r w:rsidR="00743C88">
        <w:rPr>
          <w:rStyle w:val="normaltextrun"/>
          <w:rFonts w:cs="Calibri"/>
        </w:rPr>
        <w:t>For example, partn</w:t>
      </w:r>
      <w:r w:rsidR="00B73611">
        <w:rPr>
          <w:rStyle w:val="normaltextrun"/>
          <w:rFonts w:cs="Calibri"/>
        </w:rPr>
        <w:t xml:space="preserve">ership with </w:t>
      </w:r>
      <w:r w:rsidR="002B2175">
        <w:rPr>
          <w:rStyle w:val="normaltextrun"/>
          <w:rFonts w:cs="Calibri"/>
        </w:rPr>
        <w:t xml:space="preserve">Child and Adolescent </w:t>
      </w:r>
      <w:r w:rsidR="002B2175">
        <w:rPr>
          <w:rStyle w:val="normaltextrun"/>
          <w:rFonts w:cs="Calibri"/>
        </w:rPr>
        <w:lastRenderedPageBreak/>
        <w:t>Mental Health Services</w:t>
      </w:r>
      <w:r w:rsidR="00407550">
        <w:rPr>
          <w:rStyle w:val="normaltextrun"/>
          <w:rFonts w:cs="Calibri"/>
        </w:rPr>
        <w:t xml:space="preserve"> provide</w:t>
      </w:r>
      <w:r w:rsidR="00F17F4D">
        <w:rPr>
          <w:rStyle w:val="normaltextrun"/>
          <w:rFonts w:cs="Calibri"/>
        </w:rPr>
        <w:t>s</w:t>
      </w:r>
      <w:r w:rsidR="00407550">
        <w:rPr>
          <w:rStyle w:val="normaltextrun"/>
          <w:rFonts w:cs="Calibri"/>
        </w:rPr>
        <w:t xml:space="preserve"> opportunities to </w:t>
      </w:r>
      <w:r w:rsidR="00D77A36">
        <w:rPr>
          <w:rStyle w:val="normaltextrun"/>
          <w:rFonts w:cs="Calibri"/>
        </w:rPr>
        <w:t xml:space="preserve">review and strengthen mental health approaches and life-course considerations in </w:t>
      </w:r>
      <w:r w:rsidR="00B22B8E">
        <w:rPr>
          <w:rStyle w:val="normaltextrun"/>
          <w:rFonts w:cs="Calibri"/>
        </w:rPr>
        <w:t xml:space="preserve">service design. </w:t>
      </w:r>
    </w:p>
    <w:p w14:paraId="2CDC26B9" w14:textId="61FA988B" w:rsidR="00925179" w:rsidRPr="00F70CD1" w:rsidRDefault="00925179" w:rsidP="00D82F62">
      <w:pPr>
        <w:rPr>
          <w:rStyle w:val="normaltextrun"/>
          <w:rFonts w:cs="Calibri"/>
        </w:rPr>
      </w:pPr>
      <w:r w:rsidRPr="00F70CD1">
        <w:rPr>
          <w:rStyle w:val="normaltextrun"/>
          <w:rFonts w:cs="Calibri"/>
        </w:rPr>
        <w:t>Victim</w:t>
      </w:r>
      <w:r w:rsidR="00F44A0E" w:rsidRPr="00F70CD1">
        <w:rPr>
          <w:rStyle w:val="normaltextrun"/>
          <w:rFonts w:cs="Calibri"/>
        </w:rPr>
        <w:t xml:space="preserve">s of crime must be </w:t>
      </w:r>
      <w:proofErr w:type="gramStart"/>
      <w:r w:rsidR="00F44A0E" w:rsidRPr="00F70CD1">
        <w:rPr>
          <w:rStyle w:val="normaltextrun"/>
          <w:rFonts w:cs="Calibri"/>
        </w:rPr>
        <w:t>recognised</w:t>
      </w:r>
      <w:proofErr w:type="gramEnd"/>
      <w:r w:rsidR="00F44A0E" w:rsidRPr="00F70CD1">
        <w:rPr>
          <w:rStyle w:val="normaltextrun"/>
          <w:rFonts w:cs="Calibri"/>
        </w:rPr>
        <w:t xml:space="preserve"> and their voices empowered by the justice system. Connected agencies with mechanisms for consulting </w:t>
      </w:r>
      <w:r w:rsidR="007A2F0A" w:rsidRPr="00F70CD1">
        <w:rPr>
          <w:rStyle w:val="normaltextrun"/>
          <w:rFonts w:cs="Calibri"/>
        </w:rPr>
        <w:t xml:space="preserve">effectively </w:t>
      </w:r>
      <w:r w:rsidR="00F44A0E" w:rsidRPr="00F70CD1">
        <w:rPr>
          <w:rStyle w:val="normaltextrun"/>
          <w:rFonts w:cs="Calibri"/>
        </w:rPr>
        <w:t xml:space="preserve">with </w:t>
      </w:r>
      <w:r w:rsidR="007A2F0A" w:rsidRPr="00F70CD1">
        <w:rPr>
          <w:rStyle w:val="normaltextrun"/>
          <w:rFonts w:cs="Calibri"/>
        </w:rPr>
        <w:t>victims and their families</w:t>
      </w:r>
      <w:r w:rsidR="007A2F0A" w:rsidRPr="00F70CD1">
        <w:rPr>
          <w:rStyle w:val="CommentReference"/>
        </w:rPr>
        <w:t xml:space="preserve"> </w:t>
      </w:r>
      <w:r w:rsidR="007A2F0A" w:rsidRPr="00F70CD1">
        <w:rPr>
          <w:rStyle w:val="normaltextrun"/>
          <w:rFonts w:cs="Calibri"/>
        </w:rPr>
        <w:t>is a vital step toward healing.</w:t>
      </w:r>
    </w:p>
    <w:p w14:paraId="349DA63C" w14:textId="54F4846E" w:rsidR="009C48FD" w:rsidRPr="00CB14A0" w:rsidRDefault="009C48FD" w:rsidP="00D82F62">
      <w:pPr>
        <w:pStyle w:val="block-quote"/>
        <w:rPr>
          <w:rStyle w:val="normaltextrun"/>
        </w:rPr>
      </w:pPr>
      <w:r w:rsidRPr="00CB14A0">
        <w:rPr>
          <w:rStyle w:val="normaltextrun"/>
        </w:rPr>
        <w:t>“If we’re serious about rehabilitation in youth justice, we need to get serious about designing and evaluating effective systems of case management”</w:t>
      </w:r>
      <w:r w:rsidR="00DE3D32">
        <w:rPr>
          <w:rStyle w:val="normaltextrun"/>
        </w:rPr>
        <w:t xml:space="preserve"> — </w:t>
      </w:r>
      <w:r w:rsidRPr="00CB14A0">
        <w:rPr>
          <w:rStyle w:val="normaltextrun"/>
        </w:rPr>
        <w:t>Shelley Turner, Monash University</w:t>
      </w:r>
      <w:r w:rsidRPr="00DE3D32">
        <w:rPr>
          <w:rStyle w:val="FootnoteReference"/>
        </w:rPr>
        <w:footnoteReference w:id="13"/>
      </w:r>
    </w:p>
    <w:p w14:paraId="76D592A1" w14:textId="5D672D70" w:rsidR="00FA0652" w:rsidRPr="00635705" w:rsidRDefault="4EDA46C9" w:rsidP="004E784C">
      <w:pPr>
        <w:pStyle w:val="Heading3"/>
      </w:pPr>
      <w:r w:rsidRPr="00635705">
        <w:t xml:space="preserve">To deliver better connected services, we will: </w:t>
      </w:r>
    </w:p>
    <w:p w14:paraId="5D22B592" w14:textId="0FFFC187" w:rsidR="009B6C48" w:rsidRPr="00F70CD1" w:rsidRDefault="47F79402" w:rsidP="00DE3D32">
      <w:pPr>
        <w:pStyle w:val="Bullet-Numbered"/>
        <w:numPr>
          <w:ilvl w:val="0"/>
          <w:numId w:val="26"/>
        </w:numPr>
        <w:ind w:left="426"/>
        <w:rPr>
          <w:rStyle w:val="normaltextrun"/>
        </w:rPr>
      </w:pPr>
      <w:r w:rsidRPr="00CB14A0">
        <w:rPr>
          <w:rStyle w:val="normaltextrun"/>
        </w:rPr>
        <w:t xml:space="preserve">Improve diversionary and statutory practice through partnerships with the </w:t>
      </w:r>
      <w:r w:rsidR="006363E5" w:rsidRPr="00CB14A0">
        <w:rPr>
          <w:rStyle w:val="normaltextrun"/>
        </w:rPr>
        <w:t xml:space="preserve">Attorney-General’s Department, </w:t>
      </w:r>
      <w:r w:rsidRPr="00CB14A0">
        <w:rPr>
          <w:rStyle w:val="normaltextrun"/>
        </w:rPr>
        <w:t>Courts Administration Authority, Department for Correctional Services and the South Australia Police</w:t>
      </w:r>
      <w:r w:rsidR="5E380AE3" w:rsidRPr="00CB14A0">
        <w:rPr>
          <w:rStyle w:val="normaltextrun"/>
        </w:rPr>
        <w:t>.</w:t>
      </w:r>
    </w:p>
    <w:p w14:paraId="282C8D96" w14:textId="36661EB3" w:rsidR="00FA0652" w:rsidRPr="00CB14A0" w:rsidRDefault="4EDA46C9" w:rsidP="00DE3D32">
      <w:pPr>
        <w:pStyle w:val="Bullet-Numbered"/>
        <w:numPr>
          <w:ilvl w:val="0"/>
          <w:numId w:val="26"/>
        </w:numPr>
        <w:ind w:left="426"/>
        <w:rPr>
          <w:rStyle w:val="normaltextrun"/>
        </w:rPr>
      </w:pPr>
      <w:r w:rsidRPr="00CB14A0">
        <w:rPr>
          <w:rStyle w:val="normaltextrun"/>
        </w:rPr>
        <w:t>Partner with Community Services, including Metropolitan Aboriginal Youth and Family Services (MAYFS) and Aboriginal Community Controlled Organisations, to effectively respond to the needs of Aboriginal children and young people</w:t>
      </w:r>
      <w:r w:rsidR="5E380AE3" w:rsidRPr="00CB14A0">
        <w:rPr>
          <w:rStyle w:val="normaltextrun"/>
        </w:rPr>
        <w:t>.</w:t>
      </w:r>
    </w:p>
    <w:p w14:paraId="49EC6882" w14:textId="09738C3B" w:rsidR="009B6C48" w:rsidRPr="00CB14A0" w:rsidRDefault="47F79402" w:rsidP="00DE3D32">
      <w:pPr>
        <w:pStyle w:val="Bullet-Numbered"/>
        <w:numPr>
          <w:ilvl w:val="0"/>
          <w:numId w:val="26"/>
        </w:numPr>
        <w:ind w:left="426"/>
        <w:rPr>
          <w:rStyle w:val="normaltextrun"/>
        </w:rPr>
      </w:pPr>
      <w:r w:rsidRPr="00CB14A0">
        <w:rPr>
          <w:rStyle w:val="normaltextrun"/>
        </w:rPr>
        <w:t>Partner with the Department for Child Protection to better meet the needs of dual clients</w:t>
      </w:r>
      <w:r w:rsidR="5E380AE3" w:rsidRPr="00CB14A0">
        <w:rPr>
          <w:rStyle w:val="normaltextrun"/>
        </w:rPr>
        <w:t>.</w:t>
      </w:r>
    </w:p>
    <w:p w14:paraId="1CF42DF2" w14:textId="3D7F07EE" w:rsidR="1A97B561" w:rsidRPr="00F70CD1" w:rsidRDefault="47F79402" w:rsidP="00DE3D32">
      <w:pPr>
        <w:pStyle w:val="Bullet-Numbered"/>
        <w:numPr>
          <w:ilvl w:val="0"/>
          <w:numId w:val="26"/>
        </w:numPr>
        <w:ind w:left="426"/>
        <w:rPr>
          <w:rStyle w:val="normaltextrun"/>
        </w:rPr>
      </w:pPr>
      <w:r w:rsidRPr="00CB14A0">
        <w:rPr>
          <w:rStyle w:val="normaltextrun"/>
        </w:rPr>
        <w:t>Deliver a targeted approach for school re-engagement through the Youth Education Centre</w:t>
      </w:r>
      <w:r w:rsidR="5E380AE3" w:rsidRPr="00CB14A0">
        <w:rPr>
          <w:rStyle w:val="normaltextrun"/>
        </w:rPr>
        <w:t>.</w:t>
      </w:r>
    </w:p>
    <w:p w14:paraId="2B09F690" w14:textId="212EF8F5" w:rsidR="1A97B561" w:rsidRPr="00F70CD1" w:rsidRDefault="4EDA46C9" w:rsidP="00DE3D32">
      <w:pPr>
        <w:pStyle w:val="Bullet-Numbered"/>
        <w:numPr>
          <w:ilvl w:val="0"/>
          <w:numId w:val="26"/>
        </w:numPr>
        <w:ind w:left="426"/>
        <w:rPr>
          <w:rStyle w:val="normaltextrun"/>
        </w:rPr>
      </w:pPr>
      <w:r w:rsidRPr="00DE3D32">
        <w:rPr>
          <w:rFonts w:ascii="Calibri" w:eastAsia="Calibri" w:hAnsi="Calibri"/>
        </w:rPr>
        <w:t>Work collab</w:t>
      </w:r>
      <w:r w:rsidRPr="00CB14A0">
        <w:t xml:space="preserve">oratively to increase shared accountability for </w:t>
      </w:r>
      <w:r w:rsidRPr="00DE3D32">
        <w:rPr>
          <w:rStyle w:val="normaltextrun"/>
          <w:rFonts w:eastAsiaTheme="minorEastAsia"/>
        </w:rPr>
        <w:t>information sharing, consistent approaches, identification of</w:t>
      </w:r>
      <w:r w:rsidR="00077E52" w:rsidRPr="00DE3D32">
        <w:rPr>
          <w:rStyle w:val="normaltextrun"/>
          <w:rFonts w:eastAsiaTheme="minorEastAsia"/>
        </w:rPr>
        <w:t xml:space="preserve"> </w:t>
      </w:r>
      <w:r w:rsidRPr="00DE3D32">
        <w:rPr>
          <w:rStyle w:val="normaltextrun"/>
          <w:rFonts w:eastAsiaTheme="minorEastAsia"/>
        </w:rPr>
        <w:t>challenges and elimination of duplication when working with children and young people in the youth justice system</w:t>
      </w:r>
      <w:r w:rsidR="5E380AE3" w:rsidRPr="00DE3D32">
        <w:rPr>
          <w:rStyle w:val="normaltextrun"/>
          <w:rFonts w:eastAsiaTheme="minorEastAsia"/>
        </w:rPr>
        <w:t>.</w:t>
      </w:r>
    </w:p>
    <w:p w14:paraId="03C08EC0" w14:textId="5BB13061" w:rsidR="1A97B561" w:rsidRPr="00F70CD1" w:rsidRDefault="4EDA46C9" w:rsidP="00DE3D32">
      <w:pPr>
        <w:pStyle w:val="Bullet-Numbered"/>
        <w:numPr>
          <w:ilvl w:val="0"/>
          <w:numId w:val="26"/>
        </w:numPr>
        <w:ind w:left="426"/>
        <w:rPr>
          <w:rStyle w:val="normaltextrun"/>
        </w:rPr>
      </w:pPr>
      <w:r w:rsidRPr="00DE3D32">
        <w:rPr>
          <w:rStyle w:val="normaltextrun"/>
          <w:rFonts w:eastAsiaTheme="minorEastAsia"/>
        </w:rPr>
        <w:t xml:space="preserve">Strengthen end-to-end case management and ensure the young person’s voice is at the centre of assessment, planning and service delivery. </w:t>
      </w:r>
    </w:p>
    <w:p w14:paraId="3B014825" w14:textId="268394B8" w:rsidR="22C96A23" w:rsidRPr="00F70CD1" w:rsidRDefault="22C96A23" w:rsidP="00DE3D32">
      <w:pPr>
        <w:pStyle w:val="Bullet-Numbered"/>
        <w:numPr>
          <w:ilvl w:val="0"/>
          <w:numId w:val="26"/>
        </w:numPr>
        <w:ind w:left="426"/>
      </w:pPr>
      <w:r w:rsidRPr="00DE3D32">
        <w:rPr>
          <w:rStyle w:val="normaltextrun"/>
          <w:rFonts w:eastAsiaTheme="minorEastAsia"/>
        </w:rPr>
        <w:t xml:space="preserve">Further develop and </w:t>
      </w:r>
      <w:r w:rsidRPr="00CB14A0">
        <w:t>market the Youth Justice Victims</w:t>
      </w:r>
      <w:r w:rsidR="009D6E7C" w:rsidRPr="00CB14A0">
        <w:t>’</w:t>
      </w:r>
      <w:r w:rsidRPr="00CB14A0">
        <w:t xml:space="preserve"> Register</w:t>
      </w:r>
      <w:r w:rsidR="713A9E7D" w:rsidRPr="00CB14A0">
        <w:t xml:space="preserve"> to </w:t>
      </w:r>
      <w:r w:rsidR="17EE6E70" w:rsidRPr="00CB14A0">
        <w:t xml:space="preserve">empower </w:t>
      </w:r>
      <w:r w:rsidR="347E4DC3" w:rsidRPr="00CB14A0">
        <w:t xml:space="preserve">victims of </w:t>
      </w:r>
      <w:proofErr w:type="gramStart"/>
      <w:r w:rsidR="347E4DC3" w:rsidRPr="00CB14A0">
        <w:t>crim</w:t>
      </w:r>
      <w:r w:rsidR="07D8114D" w:rsidRPr="00CB14A0">
        <w:t>e</w:t>
      </w:r>
      <w:r w:rsidR="18115E11" w:rsidRPr="00CB14A0">
        <w:t>,</w:t>
      </w:r>
      <w:r w:rsidR="672E79A6" w:rsidRPr="00CB14A0">
        <w:t xml:space="preserve"> </w:t>
      </w:r>
      <w:r w:rsidR="12A5640D" w:rsidRPr="00CB14A0">
        <w:t>and</w:t>
      </w:r>
      <w:proofErr w:type="gramEnd"/>
      <w:r w:rsidR="12A5640D" w:rsidRPr="00CB14A0">
        <w:t xml:space="preserve"> consider their voices </w:t>
      </w:r>
      <w:r w:rsidR="6D7D7994" w:rsidRPr="00CB14A0">
        <w:t xml:space="preserve">in understanding the </w:t>
      </w:r>
      <w:r w:rsidR="672E79A6" w:rsidRPr="00CB14A0">
        <w:t>impacts</w:t>
      </w:r>
      <w:r w:rsidR="713A9E7D" w:rsidRPr="00CB14A0">
        <w:t xml:space="preserve"> </w:t>
      </w:r>
      <w:r w:rsidR="05EB8801" w:rsidRPr="00CB14A0">
        <w:t>of crime.</w:t>
      </w:r>
    </w:p>
    <w:p w14:paraId="033530BD" w14:textId="77777777" w:rsidR="00CB14A0" w:rsidRPr="00DE3D32" w:rsidRDefault="009D6E7C" w:rsidP="00DE3D32">
      <w:pPr>
        <w:pStyle w:val="Bullet-Numbered"/>
        <w:numPr>
          <w:ilvl w:val="0"/>
          <w:numId w:val="26"/>
        </w:numPr>
        <w:ind w:left="426"/>
        <w:rPr>
          <w:rStyle w:val="normaltextrun"/>
          <w:rFonts w:eastAsiaTheme="minorEastAsia"/>
          <w:sz w:val="22"/>
          <w:szCs w:val="22"/>
        </w:rPr>
      </w:pPr>
      <w:r w:rsidRPr="00DE3D32">
        <w:rPr>
          <w:rStyle w:val="normaltextrun"/>
          <w:rFonts w:eastAsiaTheme="minorEastAsia"/>
        </w:rPr>
        <w:t xml:space="preserve">Work with the Youth Education Centre to increase </w:t>
      </w:r>
      <w:r w:rsidR="565669D8" w:rsidRPr="00DE3D32">
        <w:rPr>
          <w:rStyle w:val="normaltextrun"/>
          <w:rFonts w:eastAsiaTheme="minorEastAsia"/>
        </w:rPr>
        <w:t xml:space="preserve">accessibility </w:t>
      </w:r>
      <w:r w:rsidRPr="00DE3D32">
        <w:rPr>
          <w:rStyle w:val="normaltextrun"/>
          <w:rFonts w:eastAsiaTheme="minorEastAsia"/>
        </w:rPr>
        <w:t xml:space="preserve">of education </w:t>
      </w:r>
      <w:r w:rsidR="565669D8" w:rsidRPr="00DE3D32">
        <w:rPr>
          <w:rStyle w:val="normaltextrun"/>
          <w:rFonts w:eastAsiaTheme="minorEastAsia"/>
        </w:rPr>
        <w:t>for all child</w:t>
      </w:r>
      <w:r w:rsidR="5E5D2783" w:rsidRPr="00DE3D32">
        <w:rPr>
          <w:rStyle w:val="normaltextrun"/>
          <w:rFonts w:eastAsiaTheme="minorEastAsia"/>
        </w:rPr>
        <w:t>ren and young people in custody</w:t>
      </w:r>
      <w:r w:rsidR="565669D8" w:rsidRPr="00DE3D32">
        <w:rPr>
          <w:rStyle w:val="normaltextrun"/>
          <w:rFonts w:eastAsiaTheme="minorEastAsia"/>
        </w:rPr>
        <w:t xml:space="preserve"> including those with </w:t>
      </w:r>
      <w:r w:rsidR="5E5D2783" w:rsidRPr="00DE3D32">
        <w:rPr>
          <w:rStyle w:val="normaltextrun"/>
          <w:rFonts w:eastAsiaTheme="minorEastAsia"/>
        </w:rPr>
        <w:t xml:space="preserve">learning difficulties, disability, trauma, disadvantage, or placed on </w:t>
      </w:r>
      <w:r w:rsidR="565669D8" w:rsidRPr="00DE3D32">
        <w:rPr>
          <w:rStyle w:val="normaltextrun"/>
          <w:rFonts w:eastAsiaTheme="minorEastAsia"/>
        </w:rPr>
        <w:t>restricted routines.</w:t>
      </w:r>
    </w:p>
    <w:p w14:paraId="619F9FE2" w14:textId="77777777" w:rsidR="00CB14A0" w:rsidRDefault="00CB14A0" w:rsidP="00D82F62">
      <w:pPr>
        <w:rPr>
          <w:rStyle w:val="normaltextrun"/>
        </w:rPr>
      </w:pPr>
      <w:r>
        <w:rPr>
          <w:rStyle w:val="normaltextrun"/>
        </w:rPr>
        <w:br w:type="page"/>
      </w:r>
    </w:p>
    <w:p w14:paraId="178B0D4B" w14:textId="7342B827" w:rsidR="00B107CF" w:rsidRPr="00574661" w:rsidRDefault="2E72C720" w:rsidP="00D82F62">
      <w:pPr>
        <w:pStyle w:val="Heading2"/>
      </w:pPr>
      <w:bookmarkStart w:id="13" w:name="_Toc40782128"/>
      <w:r w:rsidRPr="00574661">
        <w:lastRenderedPageBreak/>
        <w:t>Aboriginal cultural connection</w:t>
      </w:r>
      <w:bookmarkEnd w:id="13"/>
    </w:p>
    <w:p w14:paraId="430FD0B9" w14:textId="793B50D6" w:rsidR="00181EC0" w:rsidRPr="00CB14A0" w:rsidRDefault="4EDA46C9" w:rsidP="00D82F62">
      <w:pPr>
        <w:pStyle w:val="block-quote"/>
        <w:rPr>
          <w:rStyle w:val="normaltextrun"/>
        </w:rPr>
      </w:pPr>
      <w:r w:rsidRPr="00CB14A0">
        <w:rPr>
          <w:rStyle w:val="normaltextrun"/>
        </w:rPr>
        <w:t xml:space="preserve">“Always support the self-determination of Aboriginal peoples and understand that for strategies to really work, Aboriginal communities must feel they have ownership of these directions” </w:t>
      </w:r>
      <w:r w:rsidR="00DE3D32">
        <w:rPr>
          <w:rStyle w:val="normaltextrun"/>
        </w:rPr>
        <w:t>—</w:t>
      </w:r>
      <w:r w:rsidR="00CB14A0">
        <w:rPr>
          <w:rStyle w:val="normaltextrun"/>
        </w:rPr>
        <w:t xml:space="preserve"> </w:t>
      </w:r>
      <w:r w:rsidRPr="00CB14A0">
        <w:rPr>
          <w:rStyle w:val="normaltextrun"/>
        </w:rPr>
        <w:t>Youth Justice Aboriginal Advisory Committee</w:t>
      </w:r>
    </w:p>
    <w:p w14:paraId="7A61228D" w14:textId="47BBCFDB" w:rsidR="009B6C48" w:rsidRPr="00DE3D32" w:rsidRDefault="2E72C720" w:rsidP="00DE3D32">
      <w:pPr>
        <w:pStyle w:val="Shared-Value"/>
      </w:pPr>
      <w:r w:rsidRPr="00DE3D32">
        <w:t>Shared Value</w:t>
      </w:r>
      <w:r w:rsidR="00CB14A0" w:rsidRPr="00DE3D32">
        <w:t xml:space="preserve">: </w:t>
      </w:r>
      <w:r w:rsidR="4EDA46C9" w:rsidRPr="00DE3D32">
        <w:t>We will ensure the voices of Aboriginal communities inform and promote strong connection to family, communities, culture, country and language. </w:t>
      </w:r>
    </w:p>
    <w:p w14:paraId="468DAC58" w14:textId="4CC3E0AD" w:rsidR="000E2716" w:rsidRPr="00962216" w:rsidRDefault="6E1BBF64" w:rsidP="00D82F62">
      <w:pPr>
        <w:rPr>
          <w:rFonts w:eastAsiaTheme="minorEastAsia"/>
        </w:rPr>
      </w:pPr>
      <w:r w:rsidRPr="00F70CD1">
        <w:rPr>
          <w:rFonts w:eastAsiaTheme="minorEastAsia"/>
        </w:rPr>
        <w:t>Aboriginal children and young people are over-represented at all stages of the youth justice system, particularly in detention.</w:t>
      </w:r>
      <w:r w:rsidRPr="00F70CD1">
        <w:t xml:space="preserve"> Aboriginal children and young people in South Australia make up nearly 5% of the </w:t>
      </w:r>
      <w:r w:rsidRPr="00962216">
        <w:t>population aged 10-17 years (December 2018). On a dail</w:t>
      </w:r>
      <w:r w:rsidR="2E72C720" w:rsidRPr="00962216" w:rsidDel="6E1BBF64">
        <w:t>y</w:t>
      </w:r>
      <w:r w:rsidRPr="00962216">
        <w:t xml:space="preserve"> average</w:t>
      </w:r>
      <w:r w:rsidR="003A179D" w:rsidRPr="00962216">
        <w:t>,</w:t>
      </w:r>
      <w:r w:rsidR="2E72C720" w:rsidRPr="00962216" w:rsidDel="6E1BBF64">
        <w:t xml:space="preserve"> 50% </w:t>
      </w:r>
      <w:r w:rsidRPr="00962216">
        <w:t xml:space="preserve">of the children and young people </w:t>
      </w:r>
      <w:r w:rsidR="00D72629">
        <w:t xml:space="preserve">aged 10-17 </w:t>
      </w:r>
      <w:r w:rsidRPr="00962216">
        <w:t>in community-based supervision, and 63% of those in</w:t>
      </w:r>
      <w:r w:rsidR="00CB0789" w:rsidRPr="00CB0789">
        <w:t xml:space="preserve"> </w:t>
      </w:r>
      <w:r w:rsidR="00CB0789" w:rsidRPr="5BB17B76">
        <w:t>Kurlana Tapa Youth Justice Centre</w:t>
      </w:r>
      <w:r w:rsidR="003E6C60">
        <w:t>, are Aboriginal</w:t>
      </w:r>
      <w:r w:rsidR="00D72629">
        <w:rPr>
          <w:rStyle w:val="FootnoteReference"/>
        </w:rPr>
        <w:footnoteReference w:id="14"/>
      </w:r>
      <w:r w:rsidRPr="00962216">
        <w:t xml:space="preserve">. </w:t>
      </w:r>
      <w:r w:rsidRPr="00962216">
        <w:rPr>
          <w:rFonts w:eastAsiaTheme="minorEastAsia"/>
        </w:rPr>
        <w:t xml:space="preserve">Aboriginal children and </w:t>
      </w:r>
      <w:r w:rsidR="4EDA46C9" w:rsidRPr="00962216">
        <w:rPr>
          <w:rFonts w:eastAsiaTheme="minorEastAsia"/>
        </w:rPr>
        <w:t>young people are more likely to have their first contact with the system at a young age, to have multiple contacts, and to experience multiple episodes of supervision. This data needs to be understood, and acted upon, to bring change.</w:t>
      </w:r>
    </w:p>
    <w:p w14:paraId="51D8544B" w14:textId="68111E65" w:rsidR="000E2716" w:rsidRPr="00F70CD1" w:rsidRDefault="4EDA46C9" w:rsidP="00D82F62">
      <w:r w:rsidRPr="00962216">
        <w:t xml:space="preserve">The </w:t>
      </w:r>
      <w:r w:rsidR="00962216">
        <w:t>YJAA r</w:t>
      </w:r>
      <w:r w:rsidRPr="00962216">
        <w:t>ecognises the over-representation of Aboriginal young people in the justice system. The Aboriginal Youth Justice Principle, contained in the Youth Justice Administration Regulations 2016, requires that family and community are active participants in case planning, assessment and decision making for Aboriginal young</w:t>
      </w:r>
      <w:r w:rsidRPr="506C967F">
        <w:t xml:space="preserve"> people.</w:t>
      </w:r>
      <w:r w:rsidR="00C24B17" w:rsidRPr="506C967F">
        <w:t xml:space="preserve"> We will use the Principle as a fundamental guiding approach in all projects carried out through this State Plan.</w:t>
      </w:r>
    </w:p>
    <w:p w14:paraId="705DCBBE" w14:textId="38D2BC87" w:rsidR="000E2716" w:rsidRPr="00F70CD1" w:rsidRDefault="4EDA46C9" w:rsidP="00D82F62">
      <w:pPr>
        <w:rPr>
          <w:rStyle w:val="normaltextrun"/>
          <w:rFonts w:cs="Calibri"/>
        </w:rPr>
      </w:pPr>
      <w:r w:rsidRPr="00F70CD1">
        <w:rPr>
          <w:rStyle w:val="normaltextrun"/>
          <w:rFonts w:cs="Calibri"/>
        </w:rPr>
        <w:t xml:space="preserve">For Aboriginal </w:t>
      </w:r>
      <w:r w:rsidR="006363E5">
        <w:rPr>
          <w:rStyle w:val="normaltextrun"/>
          <w:rFonts w:cs="Calibri"/>
        </w:rPr>
        <w:t xml:space="preserve">children and </w:t>
      </w:r>
      <w:r w:rsidRPr="00F70CD1">
        <w:rPr>
          <w:rStyle w:val="normaltextrun"/>
          <w:rFonts w:cs="Calibri"/>
        </w:rPr>
        <w:t xml:space="preserve">young people in the system, there is a need to support a process of healing and cultural connection. Connection to family, community, Elders, culture and language are all crucial parts of personal development and achieving positive outcomes. </w:t>
      </w:r>
      <w:r w:rsidR="00C24B17" w:rsidRPr="00F70CD1">
        <w:rPr>
          <w:rStyle w:val="normaltextrun"/>
          <w:rFonts w:cs="Calibri"/>
        </w:rPr>
        <w:t xml:space="preserve">Providing Aboriginal </w:t>
      </w:r>
      <w:r w:rsidR="006363E5">
        <w:rPr>
          <w:rStyle w:val="normaltextrun"/>
          <w:rFonts w:cs="Calibri"/>
        </w:rPr>
        <w:t xml:space="preserve">children and </w:t>
      </w:r>
      <w:r w:rsidR="00C24B17" w:rsidRPr="00F70CD1">
        <w:rPr>
          <w:rStyle w:val="normaltextrun"/>
          <w:rFonts w:cs="Calibri"/>
        </w:rPr>
        <w:t>young people with opportunities to also become positive role models for others will help to influence the pattern of over-representation over time.</w:t>
      </w:r>
    </w:p>
    <w:p w14:paraId="1C39ECF2" w14:textId="67AACEE5" w:rsidR="000E2716" w:rsidRPr="00F70CD1" w:rsidRDefault="4EDA46C9" w:rsidP="00D82F62">
      <w:pPr>
        <w:rPr>
          <w:rStyle w:val="normaltextrun"/>
          <w:rFonts w:eastAsiaTheme="minorEastAsia"/>
        </w:rPr>
      </w:pPr>
      <w:r w:rsidRPr="00F70CD1">
        <w:rPr>
          <w:rStyle w:val="normaltextrun"/>
          <w:rFonts w:cs="Calibri"/>
        </w:rPr>
        <w:t>Aboriginal family and community have expressed their desire for opportunities to connect and collaborate with culturally appropriate services and supports, with advocates who understand the complexity of the issues</w:t>
      </w:r>
      <w:r w:rsidR="006363E5">
        <w:rPr>
          <w:rStyle w:val="normaltextrun"/>
          <w:rFonts w:cs="Calibri"/>
        </w:rPr>
        <w:t xml:space="preserve"> children and</w:t>
      </w:r>
      <w:r w:rsidRPr="00F70CD1">
        <w:rPr>
          <w:rStyle w:val="normaltextrun"/>
          <w:rFonts w:cs="Calibri"/>
        </w:rPr>
        <w:t xml:space="preserve"> young people face. </w:t>
      </w:r>
    </w:p>
    <w:p w14:paraId="759B526E" w14:textId="77777777" w:rsidR="00DE3D32" w:rsidRDefault="00DE3D32">
      <w:pPr>
        <w:spacing w:before="0"/>
        <w:rPr>
          <w:rFonts w:eastAsiaTheme="minorEastAsia"/>
          <w:b/>
          <w:bCs/>
          <w:color w:val="5A5A5A" w:themeColor="text1" w:themeTint="A5"/>
          <w:spacing w:val="15"/>
          <w:sz w:val="32"/>
          <w:szCs w:val="32"/>
        </w:rPr>
      </w:pPr>
      <w:r>
        <w:br w:type="page"/>
      </w:r>
    </w:p>
    <w:p w14:paraId="0FB576B4" w14:textId="79135470" w:rsidR="00C24B17" w:rsidRPr="00DE3D32" w:rsidRDefault="00C24B17" w:rsidP="00DE3D32">
      <w:pPr>
        <w:pStyle w:val="Subtitle"/>
      </w:pPr>
      <w:r w:rsidRPr="00DE3D32">
        <w:lastRenderedPageBreak/>
        <w:t>Aboriginal and Torres Strait Islander Youth Justice Principle</w:t>
      </w:r>
    </w:p>
    <w:p w14:paraId="3F97882B"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For the purposes of the Act, the Aboriginal and Torres Strait Islander Youth Justice Principle is as follows:</w:t>
      </w:r>
    </w:p>
    <w:p w14:paraId="334FBCFA"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 xml:space="preserve">(a) that, in acknowledging the diversity of Aboriginal and Torres Strait Islander communities, the individual cultural identity of Aboriginal and Torres Strait Islander youths be </w:t>
      </w:r>
      <w:proofErr w:type="gramStart"/>
      <w:r w:rsidRPr="00F70CD1">
        <w:rPr>
          <w:rStyle w:val="normaltextrun"/>
          <w:rFonts w:asciiTheme="minorHAnsi" w:eastAsiaTheme="minorEastAsia" w:hAnsiTheme="minorHAnsi" w:cstheme="minorBidi"/>
        </w:rPr>
        <w:t>recognised</w:t>
      </w:r>
      <w:proofErr w:type="gramEnd"/>
      <w:r w:rsidRPr="00F70CD1">
        <w:rPr>
          <w:rStyle w:val="normaltextrun"/>
          <w:rFonts w:asciiTheme="minorHAnsi" w:eastAsiaTheme="minorEastAsia" w:hAnsiTheme="minorHAnsi" w:cstheme="minorBidi"/>
        </w:rPr>
        <w:t xml:space="preserve"> and their beliefs and practices be supported, respected and valued;</w:t>
      </w:r>
    </w:p>
    <w:p w14:paraId="1511971E"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 xml:space="preserve">(b) that Aboriginal and Torres Strait Islander youths will be supported to uphold their cultural responsibilities and have access to, and participation in, cultural ceremonies, funerals and cultural practices, relevant to their individual cultural </w:t>
      </w:r>
      <w:proofErr w:type="gramStart"/>
      <w:r w:rsidRPr="00F70CD1">
        <w:rPr>
          <w:rStyle w:val="normaltextrun"/>
          <w:rFonts w:asciiTheme="minorHAnsi" w:eastAsiaTheme="minorEastAsia" w:hAnsiTheme="minorHAnsi" w:cstheme="minorBidi"/>
        </w:rPr>
        <w:t>identity;</w:t>
      </w:r>
      <w:proofErr w:type="gramEnd"/>
    </w:p>
    <w:p w14:paraId="5EDF1AA3" w14:textId="76DE6018"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(c) that assessment, case planning and decision</w:t>
      </w:r>
      <w:r w:rsidR="008E3DC2" w:rsidRPr="00F70CD1">
        <w:rPr>
          <w:rStyle w:val="normaltextrun"/>
          <w:rFonts w:asciiTheme="minorHAnsi" w:eastAsiaTheme="minorEastAsia" w:hAnsiTheme="minorHAnsi" w:cstheme="minorBidi"/>
        </w:rPr>
        <w:t xml:space="preserve"> </w:t>
      </w:r>
      <w:r w:rsidRPr="00F70CD1">
        <w:rPr>
          <w:rStyle w:val="normaltextrun"/>
          <w:rFonts w:asciiTheme="minorHAnsi" w:eastAsiaTheme="minorEastAsia" w:hAnsiTheme="minorHAnsi" w:cstheme="minorBidi"/>
        </w:rPr>
        <w:t xml:space="preserve">making in respect of an Aboriginal or Torres Strait Islander youth includes consultation with relevant Aboriginal and Torres Strait Islander people or organisations to assist the </w:t>
      </w:r>
      <w:proofErr w:type="gramStart"/>
      <w:r w:rsidRPr="00F70CD1">
        <w:rPr>
          <w:rStyle w:val="normaltextrun"/>
          <w:rFonts w:asciiTheme="minorHAnsi" w:eastAsiaTheme="minorEastAsia" w:hAnsiTheme="minorHAnsi" w:cstheme="minorBidi"/>
        </w:rPr>
        <w:t>youth;</w:t>
      </w:r>
      <w:proofErr w:type="gramEnd"/>
    </w:p>
    <w:p w14:paraId="300DB6A8" w14:textId="4C19789F"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(d) that, where it is appropriate to do so, the identified family, significant person and community of an Aboriginal or Torres Strait Islander youth are participants in assessment, case planning and decision</w:t>
      </w:r>
      <w:r w:rsidR="005E6928" w:rsidRPr="00F70CD1">
        <w:rPr>
          <w:rStyle w:val="normaltextrun"/>
          <w:rFonts w:asciiTheme="minorHAnsi" w:eastAsiaTheme="minorEastAsia" w:hAnsiTheme="minorHAnsi" w:cstheme="minorBidi"/>
        </w:rPr>
        <w:t xml:space="preserve"> </w:t>
      </w:r>
      <w:r w:rsidRPr="00F70CD1">
        <w:rPr>
          <w:rStyle w:val="normaltextrun"/>
          <w:rFonts w:asciiTheme="minorHAnsi" w:eastAsiaTheme="minorEastAsia" w:hAnsiTheme="minorHAnsi" w:cstheme="minorBidi"/>
        </w:rPr>
        <w:t xml:space="preserve">making for the </w:t>
      </w:r>
      <w:proofErr w:type="gramStart"/>
      <w:r w:rsidRPr="00F70CD1">
        <w:rPr>
          <w:rStyle w:val="normaltextrun"/>
          <w:rFonts w:asciiTheme="minorHAnsi" w:eastAsiaTheme="minorEastAsia" w:hAnsiTheme="minorHAnsi" w:cstheme="minorBidi"/>
        </w:rPr>
        <w:t>youth;</w:t>
      </w:r>
      <w:proofErr w:type="gramEnd"/>
    </w:p>
    <w:p w14:paraId="192523E6"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 xml:space="preserve">(e) that Aboriginal and Torres Strait Islander youths are provided with programs, services and supports that have regard to their age, maturity and individual cultural </w:t>
      </w:r>
      <w:proofErr w:type="gramStart"/>
      <w:r w:rsidRPr="00F70CD1">
        <w:rPr>
          <w:rStyle w:val="normaltextrun"/>
          <w:rFonts w:asciiTheme="minorHAnsi" w:eastAsiaTheme="minorEastAsia" w:hAnsiTheme="minorHAnsi" w:cstheme="minorBidi"/>
        </w:rPr>
        <w:t>identity;</w:t>
      </w:r>
      <w:proofErr w:type="gramEnd"/>
    </w:p>
    <w:p w14:paraId="40DEF25D"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 xml:space="preserve">(f) that the assessment of appropriate accommodation in a training centre will consider the individual cultural identity of Aboriginal and Torres Strait Islander </w:t>
      </w:r>
      <w:proofErr w:type="gramStart"/>
      <w:r w:rsidRPr="00F70CD1">
        <w:rPr>
          <w:rStyle w:val="normaltextrun"/>
          <w:rFonts w:asciiTheme="minorHAnsi" w:eastAsiaTheme="minorEastAsia" w:hAnsiTheme="minorHAnsi" w:cstheme="minorBidi"/>
        </w:rPr>
        <w:t>youths;</w:t>
      </w:r>
      <w:proofErr w:type="gramEnd"/>
    </w:p>
    <w:p w14:paraId="4404C263"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 xml:space="preserve">(g) that, where necessary, Aboriginal and Torres Strait Islander youths will be provided with interpreters and, where possible, translated </w:t>
      </w:r>
      <w:proofErr w:type="gramStart"/>
      <w:r w:rsidRPr="00F70CD1">
        <w:rPr>
          <w:rStyle w:val="normaltextrun"/>
          <w:rFonts w:asciiTheme="minorHAnsi" w:eastAsiaTheme="minorEastAsia" w:hAnsiTheme="minorHAnsi" w:cstheme="minorBidi"/>
        </w:rPr>
        <w:t>documents;</w:t>
      </w:r>
      <w:proofErr w:type="gramEnd"/>
    </w:p>
    <w:p w14:paraId="05A21953"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 xml:space="preserve">(h) that the particular health, education and wellbeing needs of Aboriginal and Torres Strait Islander youths are considered and, where practicable, </w:t>
      </w:r>
      <w:proofErr w:type="gramStart"/>
      <w:r w:rsidRPr="00F70CD1">
        <w:rPr>
          <w:rStyle w:val="normaltextrun"/>
          <w:rFonts w:asciiTheme="minorHAnsi" w:eastAsiaTheme="minorEastAsia" w:hAnsiTheme="minorHAnsi" w:cstheme="minorBidi"/>
        </w:rPr>
        <w:t>met;</w:t>
      </w:r>
      <w:proofErr w:type="gramEnd"/>
    </w:p>
    <w:p w14:paraId="36B231F6" w14:textId="77777777" w:rsidR="00C24B17" w:rsidRPr="00F70CD1" w:rsidRDefault="00C24B17" w:rsidP="00D82F6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w:t>
      </w:r>
      <w:proofErr w:type="spellStart"/>
      <w:r w:rsidRPr="00F70CD1">
        <w:rPr>
          <w:rStyle w:val="normaltextrun"/>
          <w:rFonts w:asciiTheme="minorHAnsi" w:eastAsiaTheme="minorEastAsia" w:hAnsiTheme="minorHAnsi" w:cstheme="minorBidi"/>
        </w:rPr>
        <w:t>i</w:t>
      </w:r>
      <w:proofErr w:type="spellEnd"/>
      <w:r w:rsidRPr="00F70CD1">
        <w:rPr>
          <w:rStyle w:val="normaltextrun"/>
          <w:rFonts w:asciiTheme="minorHAnsi" w:eastAsiaTheme="minorEastAsia" w:hAnsiTheme="minorHAnsi" w:cstheme="minorBidi"/>
        </w:rPr>
        <w:t xml:space="preserve">) that officers of the Department actively participate in cultural training and demonstrate culturally respectful </w:t>
      </w:r>
      <w:proofErr w:type="gramStart"/>
      <w:r w:rsidRPr="00F70CD1">
        <w:rPr>
          <w:rStyle w:val="normaltextrun"/>
          <w:rFonts w:asciiTheme="minorHAnsi" w:eastAsiaTheme="minorEastAsia" w:hAnsiTheme="minorHAnsi" w:cstheme="minorBidi"/>
        </w:rPr>
        <w:t>engagement;</w:t>
      </w:r>
      <w:proofErr w:type="gramEnd"/>
    </w:p>
    <w:p w14:paraId="0318A8D2" w14:textId="62B64F01" w:rsidR="006B7C5F" w:rsidRPr="00DE3D32" w:rsidRDefault="00C24B17" w:rsidP="00DE3D32">
      <w:pPr>
        <w:pStyle w:val="paragraph"/>
        <w:rPr>
          <w:rStyle w:val="normaltextrun"/>
          <w:rFonts w:asciiTheme="minorHAnsi" w:eastAsiaTheme="minorEastAsia" w:hAnsiTheme="minorHAnsi" w:cstheme="minorBidi"/>
        </w:rPr>
      </w:pPr>
      <w:r w:rsidRPr="00F70CD1">
        <w:rPr>
          <w:rStyle w:val="normaltextrun"/>
          <w:rFonts w:asciiTheme="minorHAnsi" w:eastAsiaTheme="minorEastAsia" w:hAnsiTheme="minorHAnsi" w:cstheme="minorBidi"/>
        </w:rPr>
        <w:t>(j) that the Department actively recruits and supports the retention of Aboriginal and Torres Strait Islander staff.</w:t>
      </w:r>
    </w:p>
    <w:p w14:paraId="688C54D1" w14:textId="77777777" w:rsidR="00DE3D32" w:rsidRDefault="00DE3D32">
      <w:pPr>
        <w:spacing w:before="0"/>
        <w:rPr>
          <w:rStyle w:val="normaltextrun"/>
          <w:rFonts w:ascii="Calibri" w:eastAsiaTheme="majorEastAsia" w:hAnsi="Calibri" w:cs="Calibri"/>
          <w:b/>
          <w:bCs/>
          <w:color w:val="1F3763" w:themeColor="accent1" w:themeShade="7F"/>
          <w:sz w:val="32"/>
          <w:szCs w:val="32"/>
        </w:rPr>
      </w:pPr>
      <w:r>
        <w:rPr>
          <w:rStyle w:val="normaltextrun"/>
        </w:rPr>
        <w:br w:type="page"/>
      </w:r>
    </w:p>
    <w:p w14:paraId="1B9A69A6" w14:textId="0701BBBF" w:rsidR="006B7C5F" w:rsidRPr="00DE3D32" w:rsidRDefault="006B7C5F" w:rsidP="004E784C">
      <w:pPr>
        <w:pStyle w:val="Heading3"/>
      </w:pPr>
      <w:r w:rsidRPr="00DE3D32">
        <w:lastRenderedPageBreak/>
        <w:t>Initiatives underway</w:t>
      </w:r>
    </w:p>
    <w:p w14:paraId="0DD3C2F9" w14:textId="5090A066" w:rsidR="006B7C5F" w:rsidRPr="00DE3D32" w:rsidRDefault="006B7C5F" w:rsidP="00DE3D32">
      <w:pPr>
        <w:pStyle w:val="Heading4"/>
      </w:pPr>
      <w:proofErr w:type="spellStart"/>
      <w:r w:rsidRPr="00DE3D32">
        <w:t>Yunga</w:t>
      </w:r>
      <w:proofErr w:type="spellEnd"/>
      <w:r w:rsidRPr="00DE3D32">
        <w:t xml:space="preserve"> Nungas </w:t>
      </w:r>
      <w:r w:rsidR="008928F2">
        <w:t>—</w:t>
      </w:r>
      <w:r w:rsidRPr="00DE3D32">
        <w:t xml:space="preserve"> a ‘whatever </w:t>
      </w:r>
      <w:proofErr w:type="gramStart"/>
      <w:r w:rsidRPr="00DE3D32">
        <w:t>it</w:t>
      </w:r>
      <w:proofErr w:type="gramEnd"/>
      <w:r w:rsidRPr="00DE3D32">
        <w:t xml:space="preserve"> takes’ approach</w:t>
      </w:r>
    </w:p>
    <w:p w14:paraId="0FEB90BE" w14:textId="2B10A61E" w:rsidR="006B7C5F" w:rsidRPr="004D0FDE" w:rsidRDefault="006B7C5F" w:rsidP="008A159A">
      <w:pPr>
        <w:pStyle w:val="InitiativesBody"/>
      </w:pPr>
      <w:r w:rsidRPr="004D0FDE">
        <w:t xml:space="preserve">The </w:t>
      </w:r>
      <w:proofErr w:type="spellStart"/>
      <w:r w:rsidRPr="004D0FDE">
        <w:t>Yunga</w:t>
      </w:r>
      <w:proofErr w:type="spellEnd"/>
      <w:r w:rsidRPr="004D0FDE">
        <w:t xml:space="preserve"> Nungas program is an intensive response for Aboriginal young people with complex needs involved in the youth justice system. With support from Community Services, DHS, young people co-designed the program based on their needs, interests and future aspirations. The structured program aims to strengthen the young people’s culture and identity, social and emotional wellbeing, family supports, health and fitness, numeracy and literacy, employment and work readiness skills. As a group, the young people were supported to build and repair relationships, problem solve, play an active role in challenging their offending behaviours and to support one another to make positive changes. Supported by the Mums and Grannies group, the young people and their families have shared ownership of the group and their achievements. The success of this methodology is being utilised to inform core business on an ongoing basis in MAYFS.</w:t>
      </w:r>
    </w:p>
    <w:p w14:paraId="5B1C8B09" w14:textId="77777777" w:rsidR="006B7C5F" w:rsidRPr="00DE3D32" w:rsidRDefault="006B7C5F" w:rsidP="00DE3D32">
      <w:pPr>
        <w:pStyle w:val="Heading4"/>
      </w:pPr>
      <w:r w:rsidRPr="00DE3D32">
        <w:t>“</w:t>
      </w:r>
      <w:proofErr w:type="spellStart"/>
      <w:r w:rsidRPr="00DE3D32">
        <w:t>Buthera</w:t>
      </w:r>
      <w:proofErr w:type="spellEnd"/>
      <w:r w:rsidRPr="00DE3D32">
        <w:t xml:space="preserve"> Agreement” Cultural Connection Pilot Program</w:t>
      </w:r>
    </w:p>
    <w:p w14:paraId="710EB314" w14:textId="131517A7" w:rsidR="006B7C5F" w:rsidRPr="004D0FDE" w:rsidRDefault="006B7C5F" w:rsidP="008A159A">
      <w:pPr>
        <w:pStyle w:val="InitiativesBody"/>
        <w:rPr>
          <w:rStyle w:val="normaltextrun"/>
        </w:rPr>
      </w:pPr>
      <w:r w:rsidRPr="004D0FDE">
        <w:t>Youth Justice and Community Services have co-developed a program of work in partnership with the Narungga Nations Aboriginal Corporation (NNAC) to provide cultural activities for young people at risk of contact with the youth justice system. An initial camp was held on traditional Narungga land in November 2019, where young people were engaged to design and coordinate the content of the camp and the associated pre- and post-camp activities. These activities included a strong focus on wellbeing, language, engagement with Elders, and transition opportunities including education, training and employment pathways and connection to culture.</w:t>
      </w:r>
      <w:r w:rsidR="008A159A">
        <w:t xml:space="preserve"> </w:t>
      </w:r>
      <w:r w:rsidRPr="004D0FDE">
        <w:t xml:space="preserve">Outcomes of the program </w:t>
      </w:r>
      <w:proofErr w:type="gramStart"/>
      <w:r w:rsidRPr="004D0FDE">
        <w:t>include:</w:t>
      </w:r>
      <w:proofErr w:type="gramEnd"/>
      <w:r w:rsidRPr="004D0FDE">
        <w:t xml:space="preserve"> greater connection to community, Kinship Elders, family and peers support; reduction in substance misuse; and a platform for setting future aspirations, such as respect, leadership and taking responsibility.</w:t>
      </w:r>
    </w:p>
    <w:p w14:paraId="27FE69B2" w14:textId="77777777" w:rsidR="00635490" w:rsidRPr="00F70CD1" w:rsidRDefault="00635490" w:rsidP="00D82F62">
      <w:pPr>
        <w:pStyle w:val="paragraph"/>
        <w:rPr>
          <w:rStyle w:val="normaltextrun"/>
          <w:rFonts w:asciiTheme="minorHAnsi" w:eastAsiaTheme="minorEastAsia" w:hAnsiTheme="minorHAnsi" w:cstheme="minorBidi"/>
        </w:rPr>
      </w:pPr>
    </w:p>
    <w:p w14:paraId="14D1770E" w14:textId="77777777" w:rsidR="00C24B17" w:rsidRPr="00DE3D32" w:rsidRDefault="00C24B17" w:rsidP="004E784C">
      <w:pPr>
        <w:pStyle w:val="Heading3"/>
      </w:pPr>
      <w:r w:rsidRPr="00DE3D32">
        <w:t>To facilitate Aboriginal cultural connection, we will:</w:t>
      </w:r>
    </w:p>
    <w:p w14:paraId="42D115A6" w14:textId="6C3645C1" w:rsidR="00C24B17" w:rsidRPr="00F70CD1" w:rsidRDefault="00C24B17" w:rsidP="00DE3D32">
      <w:pPr>
        <w:pStyle w:val="Bullet-Numbered"/>
        <w:numPr>
          <w:ilvl w:val="0"/>
          <w:numId w:val="27"/>
        </w:numPr>
        <w:ind w:left="426"/>
        <w:rPr>
          <w:rStyle w:val="normaltextrun"/>
        </w:rPr>
      </w:pPr>
      <w:r w:rsidRPr="00635490">
        <w:rPr>
          <w:rStyle w:val="normaltextrun"/>
        </w:rPr>
        <w:t>Support Aboriginal children and young people to identify their own cultural pathways as custodians of their own stories, including through shared use of cultural tools across services (</w:t>
      </w:r>
      <w:r w:rsidR="004D5D70">
        <w:rPr>
          <w:rStyle w:val="normaltextrun"/>
        </w:rPr>
        <w:t>for example,</w:t>
      </w:r>
      <w:r w:rsidRPr="00635490">
        <w:rPr>
          <w:rStyle w:val="normaltextrun"/>
        </w:rPr>
        <w:t xml:space="preserve"> </w:t>
      </w:r>
      <w:r w:rsidRPr="00DE3D32">
        <w:rPr>
          <w:rStyle w:val="normaltextrun"/>
          <w:i/>
          <w:iCs/>
        </w:rPr>
        <w:t>Circles of Trust</w:t>
      </w:r>
      <w:r w:rsidRPr="00635490">
        <w:rPr>
          <w:rStyle w:val="normaltextrun"/>
        </w:rPr>
        <w:t xml:space="preserve"> cultural engagement tool and the </w:t>
      </w:r>
      <w:r w:rsidRPr="00DE3D32">
        <w:rPr>
          <w:rStyle w:val="normaltextrun"/>
          <w:i/>
          <w:iCs/>
        </w:rPr>
        <w:t>My Journe</w:t>
      </w:r>
      <w:r w:rsidRPr="00635490">
        <w:rPr>
          <w:rStyle w:val="normaltextrun"/>
        </w:rPr>
        <w:t>y individual cultural pathway tool).</w:t>
      </w:r>
    </w:p>
    <w:p w14:paraId="6A3858AB" w14:textId="77777777" w:rsidR="00C24B17" w:rsidRPr="00F70CD1" w:rsidRDefault="00C24B17" w:rsidP="00DE3D32">
      <w:pPr>
        <w:pStyle w:val="Bullet-Numbered"/>
        <w:numPr>
          <w:ilvl w:val="0"/>
          <w:numId w:val="27"/>
        </w:numPr>
        <w:ind w:left="426"/>
        <w:rPr>
          <w:rStyle w:val="normaltextrun"/>
        </w:rPr>
      </w:pPr>
      <w:r w:rsidRPr="00635490">
        <w:rPr>
          <w:rStyle w:val="normaltextrun"/>
        </w:rPr>
        <w:t>Finalise the Youth Justice Aboriginal Engagement Plan to formalise how we bring the voices of Aboriginal communities into all activities supporting Aboriginal young people, their families and their communities.</w:t>
      </w:r>
    </w:p>
    <w:p w14:paraId="0EAE9062" w14:textId="31F2DE38" w:rsidR="00C24B17" w:rsidRPr="00635490" w:rsidRDefault="00C24B17" w:rsidP="00DE3D32">
      <w:pPr>
        <w:pStyle w:val="Bullet-Numbered"/>
        <w:numPr>
          <w:ilvl w:val="0"/>
          <w:numId w:val="27"/>
        </w:numPr>
        <w:ind w:left="426"/>
        <w:rPr>
          <w:rStyle w:val="normaltextrun"/>
        </w:rPr>
      </w:pPr>
      <w:r w:rsidRPr="00635490">
        <w:rPr>
          <w:rStyle w:val="normaltextrun"/>
        </w:rPr>
        <w:lastRenderedPageBreak/>
        <w:t>Deliver an Elders visiting program in </w:t>
      </w:r>
      <w:r w:rsidR="00CB0789" w:rsidRPr="5BB17B76">
        <w:t>Kurlana Tapa Youth Justice Centre</w:t>
      </w:r>
      <w:r w:rsidRPr="00635490">
        <w:rPr>
          <w:rStyle w:val="normaltextrun"/>
        </w:rPr>
        <w:t xml:space="preserve"> and explore a community-based equivalent.</w:t>
      </w:r>
    </w:p>
    <w:p w14:paraId="59E5C788" w14:textId="6E4FFD87" w:rsidR="00C24B17" w:rsidRPr="00635490" w:rsidRDefault="00C24B17" w:rsidP="00DE3D32">
      <w:pPr>
        <w:pStyle w:val="Bullet-Numbered"/>
        <w:numPr>
          <w:ilvl w:val="0"/>
          <w:numId w:val="27"/>
        </w:numPr>
        <w:ind w:left="426"/>
        <w:rPr>
          <w:rStyle w:val="normaltextrun"/>
        </w:rPr>
      </w:pPr>
      <w:r w:rsidRPr="00635490">
        <w:rPr>
          <w:rStyle w:val="normaltextrun"/>
        </w:rPr>
        <w:t xml:space="preserve">Engage young people and community to design and develop an Aboriginal cultural trail and cultural connection space at </w:t>
      </w:r>
      <w:r w:rsidR="00CB0789" w:rsidRPr="5BB17B76">
        <w:t>Kurlana Tapa Youth Justice Centre</w:t>
      </w:r>
      <w:r w:rsidRPr="00635490">
        <w:rPr>
          <w:rStyle w:val="normaltextrun"/>
        </w:rPr>
        <w:t>.</w:t>
      </w:r>
    </w:p>
    <w:p w14:paraId="6E9C98DB" w14:textId="39C22D86" w:rsidR="009D6E7C" w:rsidRPr="00635490" w:rsidRDefault="00C24B17" w:rsidP="00DE3D32">
      <w:pPr>
        <w:pStyle w:val="Bullet-Numbered"/>
        <w:numPr>
          <w:ilvl w:val="0"/>
          <w:numId w:val="27"/>
        </w:numPr>
        <w:ind w:left="426"/>
        <w:rPr>
          <w:rStyle w:val="normaltextrun"/>
        </w:rPr>
      </w:pPr>
      <w:r w:rsidRPr="00635490">
        <w:rPr>
          <w:rStyle w:val="normaltextrun"/>
        </w:rPr>
        <w:t xml:space="preserve">Build on the learnings from </w:t>
      </w:r>
      <w:r w:rsidRPr="00DE3D32">
        <w:rPr>
          <w:rStyle w:val="normaltextrun"/>
          <w:i/>
          <w:iCs/>
        </w:rPr>
        <w:t>Narun</w:t>
      </w:r>
      <w:r w:rsidR="00BB5477" w:rsidRPr="00DE3D32">
        <w:rPr>
          <w:rStyle w:val="normaltextrun"/>
          <w:i/>
          <w:iCs/>
        </w:rPr>
        <w:t>g</w:t>
      </w:r>
      <w:r w:rsidRPr="00DE3D32">
        <w:rPr>
          <w:rStyle w:val="normaltextrun"/>
          <w:i/>
          <w:iCs/>
        </w:rPr>
        <w:t>ga Nations pilot cultural connection program</w:t>
      </w:r>
      <w:r w:rsidRPr="00635490">
        <w:rPr>
          <w:rStyle w:val="normaltextrun"/>
        </w:rPr>
        <w:t xml:space="preserve"> as an exemplar for further cultural connection initiatives. </w:t>
      </w:r>
    </w:p>
    <w:p w14:paraId="48FAF39D" w14:textId="07B79C75" w:rsidR="00C24B17" w:rsidRPr="00C94987" w:rsidRDefault="00C24B17" w:rsidP="00DE3D32">
      <w:pPr>
        <w:pStyle w:val="Bullet-Numbered"/>
        <w:numPr>
          <w:ilvl w:val="0"/>
          <w:numId w:val="27"/>
        </w:numPr>
        <w:ind w:left="426"/>
      </w:pPr>
      <w:r w:rsidRPr="00C94987">
        <w:t xml:space="preserve">Work with </w:t>
      </w:r>
      <w:r w:rsidR="0F11F1FE" w:rsidRPr="00C94987">
        <w:t xml:space="preserve">communities and partners </w:t>
      </w:r>
      <w:r w:rsidRPr="00C94987">
        <w:t>to increase learning of language and culture in </w:t>
      </w:r>
      <w:r w:rsidR="00CB0789" w:rsidRPr="00C94987">
        <w:t>Kurlana Tapa Youth Justice Centre</w:t>
      </w:r>
      <w:r w:rsidRPr="00C94987">
        <w:t>.</w:t>
      </w:r>
      <w:r w:rsidR="00086CC8" w:rsidRPr="00C94987">
        <w:t xml:space="preserve"> </w:t>
      </w:r>
    </w:p>
    <w:p w14:paraId="246261F3" w14:textId="0BC3F436" w:rsidR="009B6C48" w:rsidRPr="00F70CD1" w:rsidRDefault="00C24B17" w:rsidP="00D82F62">
      <w:pPr>
        <w:rPr>
          <w:rStyle w:val="normaltextrun"/>
          <w:rFonts w:eastAsia="Times New Roman" w:cs="Calibri"/>
          <w:lang w:eastAsia="en-AU"/>
        </w:rPr>
      </w:pPr>
      <w:r w:rsidRPr="00F70CD1">
        <w:rPr>
          <w:rStyle w:val="normaltextrun"/>
          <w:rFonts w:cs="Calibri"/>
        </w:rPr>
        <w:br w:type="page"/>
      </w:r>
    </w:p>
    <w:p w14:paraId="4C89AD9E" w14:textId="0C7E414F" w:rsidR="00B107CF" w:rsidRPr="00574661" w:rsidRDefault="4EDA46C9" w:rsidP="00D82F62">
      <w:pPr>
        <w:pStyle w:val="Heading2"/>
      </w:pPr>
      <w:bookmarkStart w:id="14" w:name="_Toc40782129"/>
      <w:r w:rsidRPr="00574661">
        <w:lastRenderedPageBreak/>
        <w:t>Reconnection with community</w:t>
      </w:r>
      <w:bookmarkEnd w:id="14"/>
      <w:r w:rsidRPr="00574661">
        <w:t xml:space="preserve"> </w:t>
      </w:r>
    </w:p>
    <w:p w14:paraId="65B0C83C" w14:textId="2C33DF41" w:rsidR="4EDA46C9" w:rsidRPr="004D0FDE" w:rsidRDefault="4EDA46C9" w:rsidP="00D82F62">
      <w:pPr>
        <w:pStyle w:val="block-quote"/>
        <w:rPr>
          <w:rStyle w:val="normaltextrun"/>
        </w:rPr>
      </w:pPr>
      <w:r w:rsidRPr="004D0FDE">
        <w:rPr>
          <w:rStyle w:val="eop"/>
        </w:rPr>
        <w:t>“I want to be a mentor to my siblings and cousins”</w:t>
      </w:r>
      <w:r w:rsidR="00DE3D32">
        <w:rPr>
          <w:rStyle w:val="eop"/>
        </w:rPr>
        <w:t xml:space="preserve">— </w:t>
      </w:r>
      <w:r w:rsidRPr="004D0FDE">
        <w:rPr>
          <w:rStyle w:val="normaltextrun"/>
        </w:rPr>
        <w:t>Young person under Y</w:t>
      </w:r>
      <w:r w:rsidR="00DE3D32">
        <w:rPr>
          <w:rStyle w:val="normaltextrun"/>
        </w:rPr>
        <w:t xml:space="preserve">outh </w:t>
      </w:r>
      <w:r w:rsidRPr="004D0FDE">
        <w:rPr>
          <w:rStyle w:val="normaltextrun"/>
        </w:rPr>
        <w:t>J</w:t>
      </w:r>
      <w:r w:rsidR="00DE3D32">
        <w:rPr>
          <w:rStyle w:val="normaltextrun"/>
        </w:rPr>
        <w:t>ustice</w:t>
      </w:r>
      <w:r w:rsidRPr="004D0FDE">
        <w:rPr>
          <w:rStyle w:val="normaltextrun"/>
        </w:rPr>
        <w:t xml:space="preserve"> </w:t>
      </w:r>
      <w:r w:rsidR="00DE3D32">
        <w:rPr>
          <w:rStyle w:val="normaltextrun"/>
        </w:rPr>
        <w:t>s</w:t>
      </w:r>
      <w:r w:rsidRPr="004D0FDE">
        <w:rPr>
          <w:rStyle w:val="normaltextrun"/>
        </w:rPr>
        <w:t>upervision</w:t>
      </w:r>
    </w:p>
    <w:p w14:paraId="17E095C5" w14:textId="1F7B7DD3" w:rsidR="009B6C48" w:rsidRPr="00DE3D32" w:rsidRDefault="2E72C720" w:rsidP="00DE3D32">
      <w:pPr>
        <w:pStyle w:val="Shared-Value"/>
      </w:pPr>
      <w:r w:rsidRPr="00DE3D32">
        <w:t>Shared Value</w:t>
      </w:r>
      <w:r w:rsidR="004D0FDE" w:rsidRPr="00DE3D32">
        <w:t xml:space="preserve">: </w:t>
      </w:r>
      <w:r w:rsidR="00C24B17" w:rsidRPr="00DE3D32">
        <w:t>We are</w:t>
      </w:r>
      <w:r w:rsidR="4EDA46C9" w:rsidRPr="00DE3D32">
        <w:t xml:space="preserve"> clear</w:t>
      </w:r>
      <w:r w:rsidR="00C24B17" w:rsidRPr="00DE3D32">
        <w:t xml:space="preserve"> on </w:t>
      </w:r>
      <w:r w:rsidR="4EDA46C9" w:rsidRPr="00DE3D32">
        <w:t>our role in supporting children and young people to connect to community, while maintaining community safety and acknowledging the impact on victims of crime. </w:t>
      </w:r>
    </w:p>
    <w:p w14:paraId="2A41CF79" w14:textId="3B8B8005" w:rsidR="2E72C720" w:rsidRPr="00F70CD1" w:rsidRDefault="4EDA46C9" w:rsidP="00D82F62">
      <w:pPr>
        <w:rPr>
          <w:rStyle w:val="normaltextrun"/>
          <w:rFonts w:cs="Calibri"/>
        </w:rPr>
      </w:pPr>
      <w:r w:rsidRPr="00F70CD1">
        <w:t xml:space="preserve">We know that reducing reoffending requires more than the statutory supervision of </w:t>
      </w:r>
      <w:r w:rsidR="006363E5">
        <w:t xml:space="preserve">children and </w:t>
      </w:r>
      <w:r w:rsidRPr="00F70CD1">
        <w:t xml:space="preserve">young people. </w:t>
      </w:r>
      <w:r w:rsidRPr="00F70CD1">
        <w:rPr>
          <w:rStyle w:val="normaltextrun"/>
          <w:rFonts w:cs="Calibri"/>
        </w:rPr>
        <w:t xml:space="preserve">Crime </w:t>
      </w:r>
      <w:r w:rsidR="00C24B17" w:rsidRPr="00F70CD1">
        <w:rPr>
          <w:rStyle w:val="normaltextrun"/>
          <w:rFonts w:cs="Calibri"/>
        </w:rPr>
        <w:t>has</w:t>
      </w:r>
      <w:r w:rsidRPr="00F70CD1">
        <w:rPr>
          <w:rStyle w:val="normaltextrun"/>
          <w:rFonts w:cs="Calibri"/>
        </w:rPr>
        <w:t xml:space="preserve"> devastating impacts on victims and the community more broadly. This State Plan is therefore designed to deliver services that provide better opportunities for </w:t>
      </w:r>
      <w:r w:rsidR="006363E5">
        <w:rPr>
          <w:rStyle w:val="normaltextrun"/>
          <w:rFonts w:cs="Calibri"/>
        </w:rPr>
        <w:t xml:space="preserve">children and </w:t>
      </w:r>
      <w:r w:rsidRPr="00F70CD1">
        <w:rPr>
          <w:rStyle w:val="normaltextrun"/>
          <w:rFonts w:cs="Calibri"/>
        </w:rPr>
        <w:t>young people to achieve positive outcomes with pro-social behaviours, therefore improving community safety.</w:t>
      </w:r>
    </w:p>
    <w:p w14:paraId="2E9CDC48" w14:textId="2DC6FA47" w:rsidR="2E72C720" w:rsidRPr="00F70CD1" w:rsidRDefault="4EDA46C9" w:rsidP="00D82F62">
      <w:pPr>
        <w:rPr>
          <w:rStyle w:val="normaltextrun"/>
          <w:rFonts w:cs="Calibri"/>
        </w:rPr>
      </w:pPr>
      <w:r w:rsidRPr="00F70CD1">
        <w:t xml:space="preserve">Youth Justice, together with sector partners, is required to provide services which support </w:t>
      </w:r>
      <w:r w:rsidR="006363E5">
        <w:t xml:space="preserve">children and </w:t>
      </w:r>
      <w:r w:rsidRPr="00F70CD1">
        <w:t>young people to address their offending behaviour, including programs and individualised interventions. M</w:t>
      </w:r>
      <w:r w:rsidRPr="00F70CD1">
        <w:rPr>
          <w:rStyle w:val="normaltextrun"/>
          <w:rFonts w:cs="Calibri"/>
        </w:rPr>
        <w:t xml:space="preserve">any supports are interrupted or simply stop when a </w:t>
      </w:r>
      <w:r w:rsidR="006363E5">
        <w:rPr>
          <w:rStyle w:val="normaltextrun"/>
          <w:rFonts w:cs="Calibri"/>
        </w:rPr>
        <w:t xml:space="preserve">child or </w:t>
      </w:r>
      <w:r w:rsidRPr="00F70CD1">
        <w:rPr>
          <w:rStyle w:val="normaltextrun"/>
          <w:rFonts w:cs="Calibri"/>
        </w:rPr>
        <w:t xml:space="preserve">young person transitions from custody to community. These supports are critical in the first 24-48 hours after release when a </w:t>
      </w:r>
      <w:r w:rsidR="006363E5">
        <w:rPr>
          <w:rStyle w:val="normaltextrun"/>
          <w:rFonts w:cs="Calibri"/>
        </w:rPr>
        <w:t xml:space="preserve">child or </w:t>
      </w:r>
      <w:r w:rsidRPr="00F70CD1">
        <w:rPr>
          <w:rStyle w:val="normaltextrun"/>
          <w:rFonts w:cs="Calibri"/>
        </w:rPr>
        <w:t>young person</w:t>
      </w:r>
      <w:r w:rsidRPr="00F70CD1">
        <w:t xml:space="preserve"> most needs stability when settling</w:t>
      </w:r>
      <w:r w:rsidRPr="00F70CD1">
        <w:rPr>
          <w:rStyle w:val="normaltextrun"/>
          <w:rFonts w:cs="Calibri"/>
        </w:rPr>
        <w:t xml:space="preserve"> back into life in the community</w:t>
      </w:r>
      <w:r w:rsidR="00FA53B7" w:rsidRPr="00F70CD1">
        <w:rPr>
          <w:rStyle w:val="normaltextrun"/>
          <w:rFonts w:cs="Calibri"/>
        </w:rPr>
        <w:t xml:space="preserve"> (Journey Lab insight)</w:t>
      </w:r>
      <w:r w:rsidRPr="00F70CD1">
        <w:rPr>
          <w:rStyle w:val="normaltextrun"/>
          <w:rFonts w:cs="Calibri"/>
        </w:rPr>
        <w:t xml:space="preserve">. For example, some </w:t>
      </w:r>
      <w:r w:rsidR="00521EB7">
        <w:rPr>
          <w:rStyle w:val="normaltextrun"/>
          <w:rFonts w:cs="Calibri"/>
        </w:rPr>
        <w:t xml:space="preserve">children and </w:t>
      </w:r>
      <w:r w:rsidRPr="00F70CD1">
        <w:rPr>
          <w:rStyle w:val="normaltextrun"/>
          <w:rFonts w:cs="Calibri"/>
        </w:rPr>
        <w:t>young people may need further support for transport,</w:t>
      </w:r>
      <w:r w:rsidR="00FA53B7" w:rsidRPr="00F70CD1">
        <w:rPr>
          <w:rStyle w:val="normaltextrun"/>
          <w:rFonts w:cs="Calibri"/>
        </w:rPr>
        <w:t xml:space="preserve"> accommodation,</w:t>
      </w:r>
      <w:r w:rsidRPr="00F70CD1">
        <w:rPr>
          <w:rStyle w:val="normaltextrun"/>
          <w:rFonts w:cs="Calibri"/>
        </w:rPr>
        <w:t xml:space="preserve"> access to clothes, food or money upon release. </w:t>
      </w:r>
    </w:p>
    <w:p w14:paraId="79FA32F8" w14:textId="480F7C90" w:rsidR="000E790D" w:rsidRPr="000E790D" w:rsidRDefault="000E790D" w:rsidP="00D82F62">
      <w:r w:rsidRPr="000E790D">
        <w:t xml:space="preserve">A holistic approach is required for the individual needs of children and young people; prosocial community relationships are known to be a powerful protective factor against criminal reoffending. In this context, community connection includes effective pathways to education, training and employment. </w:t>
      </w:r>
      <w:bookmarkStart w:id="15" w:name="_Hlk39679412"/>
      <w:r w:rsidR="00585B98" w:rsidRPr="00585B98">
        <w:t>As a result of the COVID-19 pandemic, there is an increased risk of youth unemployment, which will have an adverse impact on children and young people in the youth justice system.</w:t>
      </w:r>
      <w:r w:rsidR="008A159A">
        <w:t xml:space="preserve"> </w:t>
      </w:r>
      <w:r w:rsidR="00585B98" w:rsidRPr="00585B98">
        <w:t>DHS is committed to working collaboratively with key partners to strengthen vocational education and employment pathways, such as those outlined in South Australia’s Youth Action Plan</w:t>
      </w:r>
      <w:r w:rsidRPr="000E790D">
        <w:t xml:space="preserve">. </w:t>
      </w:r>
      <w:bookmarkEnd w:id="15"/>
      <w:r w:rsidRPr="000E790D">
        <w:t>These need to be supported by coordinated services and community and family connections, with strong partnerships between pre- and post-mandated supports. Opportunities to participate in sporting, recreational, creative or volunteer community activities can significantly improve a child or young person’s sense of purpose, connection and positive identity development. Children and young people’s reconnection with community is also dependent on addressing the reality of the harm caused by stigma and promoting public confidence in children and young people’s capacity for change.</w:t>
      </w:r>
    </w:p>
    <w:p w14:paraId="4C151EFF" w14:textId="529642F5" w:rsidR="2E2C6748" w:rsidRPr="00F70CD1" w:rsidRDefault="00FA53B7" w:rsidP="00D82F62">
      <w:pPr>
        <w:rPr>
          <w:rStyle w:val="normaltextrun"/>
        </w:rPr>
      </w:pPr>
      <w:r w:rsidRPr="00F70CD1">
        <w:rPr>
          <w:rStyle w:val="normaltextrun"/>
        </w:rPr>
        <w:t>For example, in</w:t>
      </w:r>
      <w:r w:rsidR="4EDA46C9" w:rsidRPr="00F70CD1">
        <w:rPr>
          <w:rStyle w:val="normaltextrun"/>
        </w:rPr>
        <w:t xml:space="preserve"> order to help </w:t>
      </w:r>
      <w:r w:rsidR="00521EB7">
        <w:rPr>
          <w:rStyle w:val="normaltextrun"/>
        </w:rPr>
        <w:t xml:space="preserve">children and </w:t>
      </w:r>
      <w:r w:rsidR="4EDA46C9" w:rsidRPr="00F70CD1">
        <w:rPr>
          <w:rStyle w:val="normaltextrun"/>
        </w:rPr>
        <w:t>young people to fulfil their statutory obligations</w:t>
      </w:r>
      <w:r w:rsidRPr="00F70CD1">
        <w:rPr>
          <w:rStyle w:val="normaltextrun"/>
        </w:rPr>
        <w:t>,</w:t>
      </w:r>
      <w:r w:rsidR="4EDA46C9" w:rsidRPr="00F70CD1">
        <w:rPr>
          <w:rStyle w:val="normaltextrun"/>
        </w:rPr>
        <w:t xml:space="preserve"> the community service order program </w:t>
      </w:r>
      <w:r w:rsidRPr="00F70CD1">
        <w:rPr>
          <w:rStyle w:val="normaltextrun"/>
        </w:rPr>
        <w:t>enables young people</w:t>
      </w:r>
      <w:r w:rsidR="4EDA46C9" w:rsidRPr="00F70CD1">
        <w:rPr>
          <w:rStyle w:val="normaltextrun"/>
        </w:rPr>
        <w:t xml:space="preserve"> to </w:t>
      </w:r>
      <w:r w:rsidRPr="00F70CD1">
        <w:rPr>
          <w:rStyle w:val="normaltextrun"/>
        </w:rPr>
        <w:t>make restitution whilst building new skills and opportunities. We believe there are further opportunities to strengthen the connected community-based approach of this program as a key option for restitution, fines payments and rehabilitation</w:t>
      </w:r>
      <w:r w:rsidR="4EDA46C9" w:rsidRPr="00F70CD1">
        <w:rPr>
          <w:rStyle w:val="normaltextrun"/>
        </w:rPr>
        <w:t xml:space="preserve">. </w:t>
      </w:r>
    </w:p>
    <w:p w14:paraId="7EDC05D8" w14:textId="59D91F8F" w:rsidR="00FA53B7" w:rsidRPr="008928F2" w:rsidRDefault="4EDA46C9" w:rsidP="004E784C">
      <w:pPr>
        <w:pStyle w:val="Heading3"/>
      </w:pPr>
      <w:r w:rsidRPr="008928F2">
        <w:lastRenderedPageBreak/>
        <w:t xml:space="preserve">Initiatives underway </w:t>
      </w:r>
    </w:p>
    <w:p w14:paraId="103C18DF" w14:textId="670F0732" w:rsidR="6049477D" w:rsidRPr="006B7C5F" w:rsidRDefault="4EDA46C9" w:rsidP="008A159A">
      <w:pPr>
        <w:pStyle w:val="InitiativesBody"/>
      </w:pPr>
      <w:r w:rsidRPr="006B7C5F">
        <w:t xml:space="preserve">The Tiraapendi Wodli Project is a joint initiative between DHS, Australian Red Cross and the local Aboriginal community in Western Adelaide. The project is designed to empower the community to build its own capacity to reduce family violence, over-representation in the youth justice system and over-representation in the child protection system. The project’s success is being measured by an increase in young </w:t>
      </w:r>
      <w:r w:rsidR="00BB5477" w:rsidRPr="006B7C5F">
        <w:t>people’s participation</w:t>
      </w:r>
      <w:r w:rsidRPr="006B7C5F">
        <w:t xml:space="preserve"> in education and training, positive role modelling and leadership, pride in community and a reduction in offending.</w:t>
      </w:r>
    </w:p>
    <w:p w14:paraId="40930EC0" w14:textId="61BF7E7D" w:rsidR="000F41F3" w:rsidRPr="008928F2" w:rsidRDefault="2E72C720" w:rsidP="004E784C">
      <w:pPr>
        <w:pStyle w:val="Heading3"/>
      </w:pPr>
      <w:r w:rsidRPr="008928F2">
        <w:t>To enhance connection to community, we will:</w:t>
      </w:r>
    </w:p>
    <w:p w14:paraId="1DDE6296" w14:textId="4F4A4311" w:rsidR="009B6C48" w:rsidRPr="006B7C5F" w:rsidRDefault="4EDA46C9" w:rsidP="008928F2">
      <w:pPr>
        <w:pStyle w:val="ListParagraph"/>
        <w:numPr>
          <w:ilvl w:val="0"/>
          <w:numId w:val="10"/>
        </w:numPr>
        <w:ind w:left="426"/>
        <w:rPr>
          <w:rStyle w:val="normaltextrun"/>
          <w:color w:val="000000" w:themeColor="text1"/>
        </w:rPr>
      </w:pPr>
      <w:r w:rsidRPr="006B7C5F">
        <w:rPr>
          <w:rStyle w:val="normaltextrun"/>
          <w:rFonts w:cs="Calibri"/>
        </w:rPr>
        <w:t xml:space="preserve">Strengthen pathways for </w:t>
      </w:r>
      <w:r w:rsidR="00521EB7" w:rsidRPr="006B7C5F">
        <w:rPr>
          <w:rStyle w:val="normaltextrun"/>
          <w:rFonts w:cs="Calibri"/>
        </w:rPr>
        <w:t xml:space="preserve">children and </w:t>
      </w:r>
      <w:r w:rsidRPr="006B7C5F">
        <w:rPr>
          <w:rStyle w:val="normaltextrun"/>
          <w:rFonts w:cs="Calibri"/>
        </w:rPr>
        <w:t>young people’s access to targeted training and employment opportunities through increased partnerships with the Department for Innovation and Skills.</w:t>
      </w:r>
    </w:p>
    <w:p w14:paraId="2362AFF5" w14:textId="65DEFE3D" w:rsidR="00C806B4" w:rsidRPr="006B7C5F" w:rsidRDefault="2E2C6748" w:rsidP="008928F2">
      <w:pPr>
        <w:pStyle w:val="ListParagraph"/>
        <w:numPr>
          <w:ilvl w:val="0"/>
          <w:numId w:val="10"/>
        </w:numPr>
        <w:ind w:left="426"/>
        <w:rPr>
          <w:color w:val="000000" w:themeColor="text1"/>
        </w:rPr>
      </w:pPr>
      <w:r w:rsidRPr="006B7C5F">
        <w:rPr>
          <w:rStyle w:val="normaltextrun"/>
          <w:rFonts w:cs="Calibri"/>
        </w:rPr>
        <w:t>Design and adopt a s</w:t>
      </w:r>
      <w:r w:rsidRPr="006B7C5F">
        <w:t xml:space="preserve">et of agreed </w:t>
      </w:r>
      <w:proofErr w:type="gramStart"/>
      <w:r w:rsidR="00620AD4" w:rsidRPr="006B7C5F">
        <w:t>dashboard</w:t>
      </w:r>
      <w:proofErr w:type="gramEnd"/>
      <w:r w:rsidR="00620AD4" w:rsidRPr="006B7C5F">
        <w:t xml:space="preserve"> of </w:t>
      </w:r>
      <w:r w:rsidRPr="006B7C5F">
        <w:t>outcome measures</w:t>
      </w:r>
      <w:r w:rsidRPr="006B7C5F">
        <w:rPr>
          <w:rStyle w:val="normaltextrun"/>
          <w:rFonts w:eastAsiaTheme="minorEastAsia"/>
        </w:rPr>
        <w:t xml:space="preserve"> </w:t>
      </w:r>
      <w:r w:rsidR="00620AD4" w:rsidRPr="006B7C5F">
        <w:rPr>
          <w:rStyle w:val="normaltextrun"/>
          <w:rFonts w:eastAsiaTheme="minorEastAsia"/>
        </w:rPr>
        <w:t xml:space="preserve">with our partners </w:t>
      </w:r>
      <w:r w:rsidRPr="006B7C5F">
        <w:rPr>
          <w:rStyle w:val="normaltextrun"/>
          <w:rFonts w:eastAsiaTheme="minorEastAsia"/>
        </w:rPr>
        <w:t>t</w:t>
      </w:r>
      <w:r w:rsidRPr="006B7C5F">
        <w:t xml:space="preserve">hat </w:t>
      </w:r>
      <w:r w:rsidR="00620AD4" w:rsidRPr="006B7C5F">
        <w:t>will be used to monitor</w:t>
      </w:r>
      <w:r w:rsidRPr="006B7C5F">
        <w:t xml:space="preserve"> change for young people</w:t>
      </w:r>
      <w:r w:rsidR="00620AD4" w:rsidRPr="006B7C5F">
        <w:t xml:space="preserve"> under this State Plan,</w:t>
      </w:r>
      <w:r w:rsidRPr="006B7C5F">
        <w:t xml:space="preserve"> and use these to inform where we invest </w:t>
      </w:r>
      <w:r w:rsidR="00620AD4" w:rsidRPr="006B7C5F">
        <w:t>further</w:t>
      </w:r>
      <w:r w:rsidRPr="006B7C5F">
        <w:t xml:space="preserve"> resources.</w:t>
      </w:r>
    </w:p>
    <w:p w14:paraId="01549196" w14:textId="6F8A1450" w:rsidR="46FD169E" w:rsidRPr="006B7C5F" w:rsidRDefault="00620AD4" w:rsidP="008928F2">
      <w:pPr>
        <w:pStyle w:val="ListParagraph"/>
        <w:numPr>
          <w:ilvl w:val="0"/>
          <w:numId w:val="10"/>
        </w:numPr>
        <w:ind w:left="426"/>
        <w:rPr>
          <w:rStyle w:val="normaltextrun"/>
          <w:color w:val="000000" w:themeColor="text1"/>
        </w:rPr>
      </w:pPr>
      <w:r w:rsidRPr="006B7C5F">
        <w:rPr>
          <w:rStyle w:val="normaltextrun"/>
          <w:rFonts w:cs="Calibri"/>
        </w:rPr>
        <w:t xml:space="preserve">With advice from the Training Centre Review Board, </w:t>
      </w:r>
      <w:r w:rsidR="00DC1736" w:rsidRPr="006B7C5F">
        <w:rPr>
          <w:rStyle w:val="normaltextrun"/>
          <w:rFonts w:cs="Calibri"/>
        </w:rPr>
        <w:t xml:space="preserve">and in consultation with Aboriginal </w:t>
      </w:r>
      <w:r w:rsidR="00320289" w:rsidRPr="006B7C5F">
        <w:rPr>
          <w:rStyle w:val="normaltextrun"/>
          <w:rFonts w:cs="Calibri"/>
        </w:rPr>
        <w:t>c</w:t>
      </w:r>
      <w:r w:rsidR="00DC1736" w:rsidRPr="006B7C5F">
        <w:rPr>
          <w:rStyle w:val="normaltextrun"/>
          <w:rFonts w:cs="Calibri"/>
        </w:rPr>
        <w:t xml:space="preserve">ommunity, </w:t>
      </w:r>
      <w:r w:rsidRPr="006B7C5F">
        <w:rPr>
          <w:rStyle w:val="normaltextrun"/>
          <w:rFonts w:cs="Calibri"/>
        </w:rPr>
        <w:t>r</w:t>
      </w:r>
      <w:r w:rsidR="4EDA46C9" w:rsidRPr="006B7C5F">
        <w:rPr>
          <w:rStyle w:val="normaltextrun"/>
          <w:rFonts w:cs="Calibri"/>
        </w:rPr>
        <w:t>eview the polic</w:t>
      </w:r>
      <w:r w:rsidRPr="006B7C5F">
        <w:rPr>
          <w:rStyle w:val="normaltextrun"/>
          <w:rFonts w:cs="Calibri"/>
        </w:rPr>
        <w:t>ies</w:t>
      </w:r>
      <w:r w:rsidR="4EDA46C9" w:rsidRPr="006B7C5F">
        <w:rPr>
          <w:rStyle w:val="normaltextrun"/>
          <w:rFonts w:cs="Calibri"/>
        </w:rPr>
        <w:t xml:space="preserve"> on leave from </w:t>
      </w:r>
      <w:r w:rsidR="00CB0789" w:rsidRPr="5BB17B76">
        <w:t>Kurlana Tapa Youth Justice Centre</w:t>
      </w:r>
      <w:r w:rsidR="4EDA46C9" w:rsidRPr="006B7C5F">
        <w:rPr>
          <w:rStyle w:val="normaltextrun"/>
          <w:rFonts w:cs="Calibri"/>
        </w:rPr>
        <w:t xml:space="preserve"> (section 34</w:t>
      </w:r>
      <w:r w:rsidRPr="006B7C5F">
        <w:rPr>
          <w:rStyle w:val="normaltextrun"/>
          <w:rFonts w:cs="Calibri"/>
        </w:rPr>
        <w:t xml:space="preserve"> and 40</w:t>
      </w:r>
      <w:r w:rsidR="4EDA46C9" w:rsidRPr="006B7C5F">
        <w:rPr>
          <w:rStyle w:val="normaltextrun"/>
          <w:rFonts w:cs="Calibri"/>
        </w:rPr>
        <w:t xml:space="preserve"> YJAA), and the process to support Conditional Release applications, to strengthen transition to community.</w:t>
      </w:r>
    </w:p>
    <w:p w14:paraId="7EFE7D1E" w14:textId="0F8BAC52" w:rsidR="00C84A07" w:rsidRPr="006B7C5F" w:rsidRDefault="6049477D" w:rsidP="008928F2">
      <w:pPr>
        <w:pStyle w:val="ListParagraph"/>
        <w:numPr>
          <w:ilvl w:val="0"/>
          <w:numId w:val="10"/>
        </w:numPr>
        <w:ind w:left="426"/>
        <w:rPr>
          <w:rStyle w:val="normaltextrun"/>
          <w:color w:val="000000" w:themeColor="text1"/>
        </w:rPr>
      </w:pPr>
      <w:r w:rsidRPr="006B7C5F">
        <w:rPr>
          <w:rStyle w:val="normaltextrun"/>
          <w:rFonts w:cs="Calibri"/>
        </w:rPr>
        <w:t>Leverage existing community programs (including those commissioned in the non-government sector) to better utilise pro social, sports and recreational activity for young people.</w:t>
      </w:r>
    </w:p>
    <w:p w14:paraId="35E8B16D" w14:textId="37F7A290" w:rsidR="1A97B561" w:rsidRPr="006B7C5F" w:rsidRDefault="4EDA46C9" w:rsidP="008928F2">
      <w:pPr>
        <w:pStyle w:val="ListParagraph"/>
        <w:numPr>
          <w:ilvl w:val="0"/>
          <w:numId w:val="10"/>
        </w:numPr>
        <w:ind w:left="426"/>
        <w:rPr>
          <w:rStyle w:val="normaltextrun"/>
          <w:color w:val="000000" w:themeColor="text1"/>
        </w:rPr>
      </w:pPr>
      <w:r w:rsidRPr="006B7C5F">
        <w:rPr>
          <w:rStyle w:val="normaltextrun"/>
          <w:rFonts w:cs="Calibri"/>
        </w:rPr>
        <w:t>Develop a communications strategy to improve public knowledge, with the view to fostering more positive community re-integration for young people exiting custody.</w:t>
      </w:r>
    </w:p>
    <w:p w14:paraId="199C5F4E" w14:textId="7D2051AC" w:rsidR="009B6C48" w:rsidRPr="006B7C5F" w:rsidRDefault="0442567A" w:rsidP="008928F2">
      <w:pPr>
        <w:pStyle w:val="ListParagraph"/>
        <w:numPr>
          <w:ilvl w:val="0"/>
          <w:numId w:val="10"/>
        </w:numPr>
        <w:ind w:left="426"/>
        <w:rPr>
          <w:rStyle w:val="normaltextrun"/>
          <w:rFonts w:ascii="Calibri" w:eastAsia="Calibri" w:hAnsi="Calibri" w:cs="Calibri"/>
          <w:color w:val="000000" w:themeColor="text1"/>
          <w:shd w:val="clear" w:color="auto" w:fill="FFFF00"/>
        </w:rPr>
      </w:pPr>
      <w:r w:rsidRPr="006B7C5F">
        <w:rPr>
          <w:rStyle w:val="normaltextrun"/>
          <w:rFonts w:cs="Calibri"/>
        </w:rPr>
        <w:t>Bolster service delivery across government and non-government agencies to support the cr</w:t>
      </w:r>
      <w:r w:rsidRPr="006B7C5F">
        <w:rPr>
          <w:rStyle w:val="normaltextrun"/>
          <w:rFonts w:ascii="Calibri" w:eastAsia="Calibri" w:hAnsi="Calibri" w:cs="Calibri"/>
        </w:rPr>
        <w:t xml:space="preserve">ucial 24-48 hours post-release. </w:t>
      </w:r>
    </w:p>
    <w:p w14:paraId="5E4D7474" w14:textId="16751CB3" w:rsidR="00D900ED" w:rsidRPr="006B7C5F" w:rsidRDefault="00D900ED" w:rsidP="008928F2">
      <w:pPr>
        <w:pStyle w:val="ListParagraph"/>
        <w:numPr>
          <w:ilvl w:val="0"/>
          <w:numId w:val="10"/>
        </w:numPr>
        <w:ind w:left="426"/>
        <w:rPr>
          <w:rStyle w:val="normaltextrun"/>
          <w:rFonts w:ascii="Calibri" w:eastAsia="Calibri" w:hAnsi="Calibri" w:cs="Calibri"/>
        </w:rPr>
      </w:pPr>
      <w:r w:rsidRPr="16EC530B">
        <w:rPr>
          <w:lang w:eastAsia="en-AU"/>
        </w:rPr>
        <w:t>Implement a Youth Justice Advisory Board comprising young people with lived experience across the youth justice system, to further embed the voices of young people in youth justice service delivery</w:t>
      </w:r>
      <w:r w:rsidR="002628DE" w:rsidRPr="16EC530B">
        <w:rPr>
          <w:lang w:eastAsia="en-AU"/>
        </w:rPr>
        <w:t xml:space="preserve"> and decision-making</w:t>
      </w:r>
      <w:r w:rsidRPr="16EC530B">
        <w:rPr>
          <w:lang w:eastAsia="en-AU"/>
        </w:rPr>
        <w:t>.</w:t>
      </w:r>
    </w:p>
    <w:p w14:paraId="40170125" w14:textId="4C0DBF36" w:rsidR="46FD169E" w:rsidRPr="008928F2" w:rsidRDefault="00635705" w:rsidP="004E784C">
      <w:pPr>
        <w:pStyle w:val="Heading3"/>
      </w:pPr>
      <w:r w:rsidRPr="008928F2">
        <w:t>Journey Lab Insight</w:t>
      </w:r>
    </w:p>
    <w:p w14:paraId="6FEC22CC" w14:textId="6ACBE110" w:rsidR="46FD169E" w:rsidRPr="006B7C5F" w:rsidRDefault="4EDA46C9" w:rsidP="008A159A">
      <w:pPr>
        <w:pStyle w:val="InitiativesBody"/>
      </w:pPr>
      <w:r w:rsidRPr="006B7C5F">
        <w:t>The Connected Youth Journey Lab has demonstrated that the experiences of young people exiting custody are diverse. That said, a common theme emerged around the range of individual and family needs in this critical transition time. Whil</w:t>
      </w:r>
      <w:r w:rsidR="00FA53B7" w:rsidRPr="006B7C5F">
        <w:t>st</w:t>
      </w:r>
      <w:r w:rsidRPr="006B7C5F">
        <w:t xml:space="preserve"> many organisations offer support in the weeks and months post-release, often the onus is on the young person or their family to try and navigate with, and connect to, multiple services, indicating a need for improved assertive outreach. </w:t>
      </w:r>
    </w:p>
    <w:p w14:paraId="581AA86E" w14:textId="466D5E0C" w:rsidR="00620AD4" w:rsidRPr="006B7C5F" w:rsidRDefault="4EDA46C9" w:rsidP="008A159A">
      <w:pPr>
        <w:pStyle w:val="InitiativesBody"/>
        <w:rPr>
          <w:rStyle w:val="normaltextrun"/>
        </w:rPr>
      </w:pPr>
      <w:r w:rsidRPr="006B7C5F">
        <w:lastRenderedPageBreak/>
        <w:t xml:space="preserve">Many young people describe barriers in connecting to services and a delay in access due to the 9am-5pm nature of service provision. </w:t>
      </w:r>
      <w:r w:rsidR="00FA53B7" w:rsidRPr="006B7C5F">
        <w:t>In many cases,</w:t>
      </w:r>
      <w:r w:rsidRPr="006B7C5F">
        <w:t xml:space="preserve"> it was noted that young pe</w:t>
      </w:r>
      <w:r w:rsidR="00FA53B7" w:rsidRPr="006B7C5F">
        <w:t>ople</w:t>
      </w:r>
      <w:r w:rsidRPr="006B7C5F">
        <w:t xml:space="preserve"> had returned to custody within 48 hours of release </w:t>
      </w:r>
      <w:r w:rsidR="00620AD4" w:rsidRPr="006B7C5F">
        <w:t>where strong throughcare may have been lacking</w:t>
      </w:r>
      <w:r w:rsidRPr="006B7C5F">
        <w:t xml:space="preserve">. </w:t>
      </w:r>
      <w:r w:rsidR="00620AD4" w:rsidRPr="006B7C5F">
        <w:t>This is particularly the case when young people are released under no ongoing Youth Justice mandate.</w:t>
      </w:r>
    </w:p>
    <w:p w14:paraId="348CE671" w14:textId="76BDF639" w:rsidR="00B107CF" w:rsidRPr="00574661" w:rsidRDefault="4EDA46C9" w:rsidP="00D82F62">
      <w:pPr>
        <w:pStyle w:val="Heading2"/>
      </w:pPr>
      <w:bookmarkStart w:id="16" w:name="_Toc40782130"/>
      <w:r w:rsidRPr="00574661">
        <w:t>Business Intelligence</w:t>
      </w:r>
      <w:bookmarkEnd w:id="16"/>
    </w:p>
    <w:p w14:paraId="2619AFDD" w14:textId="44857D65" w:rsidR="009467E0" w:rsidRPr="006B7C5F" w:rsidRDefault="009467E0" w:rsidP="00D82F62">
      <w:pPr>
        <w:pStyle w:val="block-quote"/>
        <w:rPr>
          <w:rStyle w:val="normaltextrun"/>
        </w:rPr>
      </w:pPr>
      <w:r w:rsidRPr="006B7C5F">
        <w:rPr>
          <w:rStyle w:val="eop"/>
        </w:rPr>
        <w:t>“</w:t>
      </w:r>
      <w:r w:rsidR="00CC0CC8" w:rsidRPr="006B7C5F">
        <w:rPr>
          <w:rStyle w:val="eop"/>
        </w:rPr>
        <w:t>When information about risk is not shared, workers operate in isolation, resulting in an incomplete understanding of the complex needs and interconnected circumstances of their clients</w:t>
      </w:r>
      <w:r w:rsidRPr="006B7C5F">
        <w:rPr>
          <w:rStyle w:val="eop"/>
        </w:rPr>
        <w:t>.”</w:t>
      </w:r>
      <w:r w:rsidR="008928F2">
        <w:rPr>
          <w:rStyle w:val="eop"/>
        </w:rPr>
        <w:t>—</w:t>
      </w:r>
      <w:r w:rsidR="006B7C5F">
        <w:rPr>
          <w:rStyle w:val="eop"/>
        </w:rPr>
        <w:t xml:space="preserve"> </w:t>
      </w:r>
      <w:r w:rsidR="00966DC9" w:rsidRPr="006B7C5F">
        <w:rPr>
          <w:rStyle w:val="eop"/>
        </w:rPr>
        <w:t xml:space="preserve">Megan Philpot, </w:t>
      </w:r>
      <w:r w:rsidR="00CC0CC8" w:rsidRPr="006B7C5F">
        <w:rPr>
          <w:rStyle w:val="normaltextrun"/>
        </w:rPr>
        <w:t>Acting SA O</w:t>
      </w:r>
      <w:r w:rsidR="00966DC9" w:rsidRPr="006B7C5F">
        <w:rPr>
          <w:rStyle w:val="normaltextrun"/>
        </w:rPr>
        <w:t>mbudsman</w:t>
      </w:r>
      <w:r w:rsidR="00F0371F">
        <w:rPr>
          <w:rStyle w:val="normaltextrun"/>
        </w:rPr>
        <w:t>,</w:t>
      </w:r>
      <w:r w:rsidR="00CC0CC8" w:rsidRPr="006B7C5F">
        <w:rPr>
          <w:rStyle w:val="normaltextrun"/>
        </w:rPr>
        <w:t xml:space="preserve"> </w:t>
      </w:r>
      <w:r w:rsidR="00966DC9" w:rsidRPr="006B7C5F">
        <w:rPr>
          <w:rStyle w:val="normaltextrun"/>
        </w:rPr>
        <w:t>Information Sharing Guidelines for promoting safety and wellbeing</w:t>
      </w:r>
    </w:p>
    <w:p w14:paraId="1AF05984" w14:textId="784356DB" w:rsidR="46FD169E" w:rsidRPr="008928F2" w:rsidRDefault="46FD169E" w:rsidP="008928F2">
      <w:pPr>
        <w:pStyle w:val="Shared-Value"/>
      </w:pPr>
      <w:r w:rsidRPr="008928F2">
        <w:t>Shared Value</w:t>
      </w:r>
      <w:r w:rsidR="00363751" w:rsidRPr="008928F2">
        <w:t xml:space="preserve">: </w:t>
      </w:r>
      <w:r w:rsidRPr="008928F2">
        <w:t xml:space="preserve">We are committed to </w:t>
      </w:r>
      <w:r w:rsidR="00475A7C" w:rsidRPr="008928F2">
        <w:t>improvement in</w:t>
      </w:r>
      <w:r w:rsidRPr="008928F2">
        <w:t xml:space="preserve"> the collection, sharing and analysis of data </w:t>
      </w:r>
      <w:r w:rsidR="00475A7C" w:rsidRPr="008928F2">
        <w:t xml:space="preserve">for </w:t>
      </w:r>
      <w:r w:rsidRPr="008928F2">
        <w:t>decision making and research. </w:t>
      </w:r>
    </w:p>
    <w:p w14:paraId="4B686CBC" w14:textId="432DFCB6" w:rsidR="00461A74" w:rsidRPr="00F70CD1" w:rsidRDefault="4EDA46C9" w:rsidP="00D82F62">
      <w:r w:rsidRPr="00F70CD1">
        <w:t xml:space="preserve">A contemporary system requires robust, high-quality collaborative research that supports and informs policy development and decision </w:t>
      </w:r>
      <w:r w:rsidR="00BB5477" w:rsidRPr="00F70CD1">
        <w:t>making and</w:t>
      </w:r>
      <w:r w:rsidRPr="00F70CD1">
        <w:t xml:space="preserve"> enhances workforce skills and program delivery to improve services for our</w:t>
      </w:r>
      <w:r w:rsidR="00521EB7">
        <w:t xml:space="preserve"> children and</w:t>
      </w:r>
      <w:r w:rsidRPr="00F70CD1">
        <w:t xml:space="preserve"> young people. </w:t>
      </w:r>
    </w:p>
    <w:p w14:paraId="12C17818" w14:textId="0FAA5FFA" w:rsidR="00D52AE8" w:rsidRPr="00F70CD1" w:rsidRDefault="4EDA46C9" w:rsidP="00D82F62">
      <w:r w:rsidRPr="00F70CD1">
        <w:t>The South Australian Government has passed legislation (</w:t>
      </w:r>
      <w:r w:rsidRPr="00F70CD1">
        <w:rPr>
          <w:i/>
          <w:iCs/>
        </w:rPr>
        <w:t>Public Sector (Data Sharing) Act 2016</w:t>
      </w:r>
      <w:r w:rsidRPr="00F70CD1">
        <w:t xml:space="preserve">) to support and facilitate the sharing of data between public sector agencies, and between public sector agencies and other organisations. The legislation aims to promote public sector data as a public asset and enables data-driven evaluation of policy, programs and services. </w:t>
      </w:r>
      <w:r w:rsidR="00475A7C" w:rsidRPr="00F70CD1">
        <w:t>Through this, and other existing data agreements, we have the capabilit</w:t>
      </w:r>
      <w:r w:rsidRPr="00F70CD1">
        <w:t xml:space="preserve">y to safely and responsibly manage data linkage projects. </w:t>
      </w:r>
    </w:p>
    <w:p w14:paraId="43DA671B" w14:textId="3C3E7250" w:rsidR="4EDA46C9" w:rsidRPr="00F70CD1" w:rsidRDefault="4EDA46C9" w:rsidP="00D82F62">
      <w:pPr>
        <w:rPr>
          <w:rStyle w:val="normaltextrun"/>
        </w:rPr>
      </w:pPr>
      <w:r w:rsidRPr="00F70CD1">
        <w:rPr>
          <w:rStyle w:val="normaltextrun"/>
        </w:rPr>
        <w:t xml:space="preserve">Collecting quality data can improve how we understand </w:t>
      </w:r>
      <w:r w:rsidR="00521EB7">
        <w:rPr>
          <w:rStyle w:val="normaltextrun"/>
        </w:rPr>
        <w:t xml:space="preserve">children and </w:t>
      </w:r>
      <w:r w:rsidRPr="00F70CD1">
        <w:rPr>
          <w:rStyle w:val="normaltextrun"/>
        </w:rPr>
        <w:t>young people, plan services, conduct case management</w:t>
      </w:r>
      <w:r w:rsidR="00475A7C" w:rsidRPr="00F70CD1">
        <w:rPr>
          <w:rStyle w:val="normaltextrun"/>
        </w:rPr>
        <w:t>, support staff</w:t>
      </w:r>
      <w:r w:rsidRPr="00F70CD1">
        <w:rPr>
          <w:rStyle w:val="normaltextrun"/>
        </w:rPr>
        <w:t xml:space="preserve"> and set optimal outcome-based </w:t>
      </w:r>
      <w:r w:rsidRPr="00722F84">
        <w:t>measurables</w:t>
      </w:r>
      <w:r w:rsidR="00722F84" w:rsidRPr="00722F84">
        <w:t>, and meet the expectations of victims of crime</w:t>
      </w:r>
      <w:r w:rsidRPr="00722F84">
        <w:t>.</w:t>
      </w:r>
      <w:r w:rsidRPr="00F70CD1">
        <w:rPr>
          <w:rStyle w:val="normaltextrun"/>
        </w:rPr>
        <w:t xml:space="preserve"> In conducting this work, we will respect the data sovereignty of Aboriginal peoples and communities.</w:t>
      </w:r>
    </w:p>
    <w:p w14:paraId="12B6BEE9" w14:textId="6FED87E9" w:rsidR="005B3221" w:rsidRPr="00F70CD1" w:rsidRDefault="46FD169E" w:rsidP="00D82F62">
      <w:pPr>
        <w:rPr>
          <w:rStyle w:val="normaltextrun"/>
        </w:rPr>
      </w:pPr>
      <w:r w:rsidRPr="00F70CD1">
        <w:rPr>
          <w:rStyle w:val="normaltextrun"/>
        </w:rPr>
        <w:t xml:space="preserve">Sharing data between agencies provides an opportunity to see and respond to a much bigger picture than individual interactions with a single system; by understanding patterns among communities across connected systems over time, we are better informed to make decisions about intervention opportunities. </w:t>
      </w:r>
    </w:p>
    <w:p w14:paraId="270CCF21" w14:textId="2EC4FD75" w:rsidR="005B3221" w:rsidRPr="00F70CD1" w:rsidRDefault="4EDA46C9" w:rsidP="00D82F62">
      <w:pPr>
        <w:rPr>
          <w:rStyle w:val="normaltextrun"/>
        </w:rPr>
      </w:pPr>
      <w:r w:rsidRPr="00F70CD1">
        <w:rPr>
          <w:rStyle w:val="normaltextrun"/>
        </w:rPr>
        <w:t xml:space="preserve">Investment in research is important to ensure </w:t>
      </w:r>
      <w:r w:rsidR="00475A7C" w:rsidRPr="00F70CD1">
        <w:rPr>
          <w:rStyle w:val="normaltextrun"/>
        </w:rPr>
        <w:t>services</w:t>
      </w:r>
      <w:r w:rsidRPr="00F70CD1">
        <w:rPr>
          <w:rStyle w:val="normaltextrun"/>
        </w:rPr>
        <w:t xml:space="preserve"> are </w:t>
      </w:r>
      <w:r w:rsidR="00475A7C" w:rsidRPr="00F70CD1">
        <w:rPr>
          <w:rStyle w:val="normaltextrun"/>
        </w:rPr>
        <w:t>effective</w:t>
      </w:r>
      <w:r w:rsidRPr="00F70CD1">
        <w:rPr>
          <w:rStyle w:val="normaltextrun"/>
        </w:rPr>
        <w:t xml:space="preserve"> </w:t>
      </w:r>
      <w:r w:rsidR="00475A7C" w:rsidRPr="00F70CD1">
        <w:rPr>
          <w:rStyle w:val="normaltextrun"/>
        </w:rPr>
        <w:t>by evaluating</w:t>
      </w:r>
      <w:r w:rsidRPr="00F70CD1">
        <w:rPr>
          <w:rStyle w:val="normaltextrun"/>
        </w:rPr>
        <w:t xml:space="preserve"> outcomes. By working collaboratively with </w:t>
      </w:r>
      <w:r w:rsidR="00FA4994">
        <w:rPr>
          <w:rStyle w:val="normaltextrun"/>
        </w:rPr>
        <w:t xml:space="preserve">the DHS </w:t>
      </w:r>
      <w:r w:rsidRPr="00F70CD1">
        <w:rPr>
          <w:rStyle w:val="normaltextrun"/>
        </w:rPr>
        <w:t>Early Intervention Research Directorate, there is potential to leverage existing data, insights and strategic direction.</w:t>
      </w:r>
    </w:p>
    <w:p w14:paraId="659222DD" w14:textId="77777777" w:rsidR="000E790D" w:rsidRPr="000E790D" w:rsidRDefault="000E790D" w:rsidP="00D82F62">
      <w:r w:rsidRPr="000E790D">
        <w:t xml:space="preserve">Good business intelligence requires the innovative use of technology, and we need to continue to build capability, develop collaborative and innovative workplace culture, and invest in the tools we need to have a contemporary approach. </w:t>
      </w:r>
      <w:bookmarkStart w:id="17" w:name="_Hlk39679543"/>
      <w:r w:rsidRPr="000E790D">
        <w:t xml:space="preserve">Through the COVID-19 pandemic, we have developed new ways of working, including utilising new technologies. Through our business </w:t>
      </w:r>
      <w:r w:rsidRPr="000E790D">
        <w:lastRenderedPageBreak/>
        <w:t>intelligence focus, we will continue to build on these improvements to support flexible ways of working and delivering services.</w:t>
      </w:r>
      <w:bookmarkEnd w:id="17"/>
    </w:p>
    <w:p w14:paraId="354288B3" w14:textId="1849BF40" w:rsidR="005B3221" w:rsidRPr="008928F2" w:rsidRDefault="46FD169E" w:rsidP="004E784C">
      <w:pPr>
        <w:pStyle w:val="Heading3"/>
      </w:pPr>
      <w:r w:rsidRPr="008928F2">
        <w:t>To build business intelligence, we will:</w:t>
      </w:r>
    </w:p>
    <w:p w14:paraId="6A504C1E" w14:textId="52AEE240" w:rsidR="009B6C48" w:rsidRPr="008928F2" w:rsidRDefault="46FD169E" w:rsidP="008928F2">
      <w:pPr>
        <w:pStyle w:val="Bullet-Numbered"/>
        <w:numPr>
          <w:ilvl w:val="0"/>
          <w:numId w:val="28"/>
        </w:numPr>
        <w:ind w:left="426"/>
        <w:rPr>
          <w:rStyle w:val="normaltextrun"/>
        </w:rPr>
      </w:pPr>
      <w:r w:rsidRPr="008928F2">
        <w:rPr>
          <w:rStyle w:val="normaltextrun"/>
        </w:rPr>
        <w:t>Review and improve client feedback processes to continuously inform practice effectiveness.</w:t>
      </w:r>
    </w:p>
    <w:p w14:paraId="1DCCEC49" w14:textId="52A4299B" w:rsidR="006627FD" w:rsidRPr="008928F2" w:rsidRDefault="6E1BBF64" w:rsidP="008928F2">
      <w:pPr>
        <w:pStyle w:val="Bullet-Numbered"/>
        <w:ind w:left="426"/>
        <w:rPr>
          <w:rStyle w:val="normaltextrun"/>
        </w:rPr>
      </w:pPr>
      <w:r w:rsidRPr="008928F2">
        <w:rPr>
          <w:rStyle w:val="normaltextrun"/>
        </w:rPr>
        <w:t xml:space="preserve">Develop a </w:t>
      </w:r>
      <w:r w:rsidR="00CD14B8" w:rsidRPr="008928F2">
        <w:rPr>
          <w:rStyle w:val="normaltextrun"/>
        </w:rPr>
        <w:t xml:space="preserve">community-informed </w:t>
      </w:r>
      <w:r w:rsidRPr="008928F2">
        <w:rPr>
          <w:rStyle w:val="normaltextrun"/>
        </w:rPr>
        <w:t>three-year research agenda to inform practice and innovation through partnerships with universities</w:t>
      </w:r>
      <w:r w:rsidR="00433B3D" w:rsidRPr="008928F2">
        <w:rPr>
          <w:rStyle w:val="normaltextrun"/>
        </w:rPr>
        <w:t xml:space="preserve"> </w:t>
      </w:r>
      <w:r w:rsidR="00175F10" w:rsidRPr="008928F2">
        <w:rPr>
          <w:rStyle w:val="normaltextrun"/>
        </w:rPr>
        <w:t xml:space="preserve">and the non-government </w:t>
      </w:r>
      <w:proofErr w:type="gramStart"/>
      <w:r w:rsidR="00175F10" w:rsidRPr="008928F2">
        <w:rPr>
          <w:rStyle w:val="normaltextrun"/>
        </w:rPr>
        <w:t>sector</w:t>
      </w:r>
      <w:r w:rsidR="00384228" w:rsidRPr="008928F2">
        <w:rPr>
          <w:rStyle w:val="normaltextrun"/>
        </w:rPr>
        <w:t>, and</w:t>
      </w:r>
      <w:proofErr w:type="gramEnd"/>
      <w:r w:rsidR="00384228" w:rsidRPr="008928F2">
        <w:rPr>
          <w:rStyle w:val="normaltextrun"/>
        </w:rPr>
        <w:t xml:space="preserve"> identify opportunities for research translation.</w:t>
      </w:r>
      <w:r w:rsidR="00384228" w:rsidRPr="008928F2" w:rsidDel="00384228">
        <w:rPr>
          <w:rStyle w:val="normaltextrun"/>
        </w:rPr>
        <w:t xml:space="preserve"> </w:t>
      </w:r>
    </w:p>
    <w:p w14:paraId="1A82B90B" w14:textId="36684627" w:rsidR="00053898" w:rsidRPr="008928F2" w:rsidRDefault="4EDA46C9" w:rsidP="008928F2">
      <w:pPr>
        <w:pStyle w:val="Bullet-Numbered"/>
        <w:ind w:left="426"/>
        <w:rPr>
          <w:rStyle w:val="normaltextrun"/>
        </w:rPr>
      </w:pPr>
      <w:r w:rsidRPr="008928F2">
        <w:rPr>
          <w:rStyle w:val="normaltextrun"/>
        </w:rPr>
        <w:t>Build a more sophisticated understanding of Youth Justice populations and trends through shared data projects.</w:t>
      </w:r>
    </w:p>
    <w:p w14:paraId="2969CC16" w14:textId="1DA070C5" w:rsidR="46FD169E" w:rsidRPr="008928F2" w:rsidRDefault="4EDA46C9" w:rsidP="008928F2">
      <w:pPr>
        <w:pStyle w:val="Bullet-Numbered"/>
        <w:ind w:left="426"/>
        <w:rPr>
          <w:rStyle w:val="normaltextrun"/>
        </w:rPr>
      </w:pPr>
      <w:r w:rsidRPr="008928F2">
        <w:rPr>
          <w:rStyle w:val="normaltextrun"/>
        </w:rPr>
        <w:t>Ensure business intelligence and data sharing initiatives are on agendas for regular meetings with key service partners to support appropriate information sharing.</w:t>
      </w:r>
    </w:p>
    <w:p w14:paraId="173AEAAB" w14:textId="6463858F" w:rsidR="00053898" w:rsidRPr="008928F2" w:rsidRDefault="00475A7C" w:rsidP="008928F2">
      <w:pPr>
        <w:pStyle w:val="Bullet-Numbered"/>
        <w:ind w:left="426"/>
        <w:rPr>
          <w:rStyle w:val="normaltextrun"/>
        </w:rPr>
      </w:pPr>
      <w:r w:rsidRPr="008928F2">
        <w:rPr>
          <w:rStyle w:val="normaltextrun"/>
        </w:rPr>
        <w:t>Score requirements for</w:t>
      </w:r>
      <w:r w:rsidR="46FD169E" w:rsidRPr="008928F2">
        <w:rPr>
          <w:rStyle w:val="normaltextrun"/>
        </w:rPr>
        <w:t xml:space="preserve"> a future-focused case management tool that connects logging requirements across Youth Justice services.</w:t>
      </w:r>
    </w:p>
    <w:p w14:paraId="5A0B9EA3" w14:textId="1F21AC36" w:rsidR="46FD169E" w:rsidRPr="00F70CD1" w:rsidRDefault="46FD169E" w:rsidP="008928F2">
      <w:pPr>
        <w:pStyle w:val="Bullet-Numbered"/>
        <w:ind w:left="426"/>
        <w:rPr>
          <w:rStyle w:val="normaltextrun"/>
        </w:rPr>
      </w:pPr>
      <w:r w:rsidRPr="008928F2">
        <w:rPr>
          <w:rStyle w:val="normaltextrun"/>
        </w:rPr>
        <w:t>Conduct a micro-pilot as a try-test-learn for roaming tablet use by Youth Justice staff</w:t>
      </w:r>
      <w:r w:rsidRPr="00F70CD1">
        <w:rPr>
          <w:rStyle w:val="normaltextrun"/>
        </w:rPr>
        <w:t>.</w:t>
      </w:r>
    </w:p>
    <w:p w14:paraId="79983885" w14:textId="7AAF673B" w:rsidR="00B86253" w:rsidRPr="008928F2" w:rsidRDefault="46FD169E" w:rsidP="00D82F62">
      <w:pPr>
        <w:pStyle w:val="Heading2"/>
      </w:pPr>
      <w:bookmarkStart w:id="18" w:name="_Toc40782131"/>
      <w:r w:rsidRPr="008928F2">
        <w:t>Governance and accountability</w:t>
      </w:r>
      <w:bookmarkEnd w:id="18"/>
    </w:p>
    <w:p w14:paraId="56AE4BC0" w14:textId="3BD4EF68" w:rsidR="00E642DE" w:rsidRPr="00F70CD1" w:rsidRDefault="4EDA46C9" w:rsidP="00D82F62">
      <w:r w:rsidRPr="00F70CD1">
        <w:t>Strong governance is critical to solidify, implement and monitor cross-agency accountability for service delivery and collaborative practice. Together, the following elements form the Governance Framework:</w:t>
      </w:r>
    </w:p>
    <w:p w14:paraId="61379A19" w14:textId="77777777" w:rsidR="00635705" w:rsidRDefault="4EDA46C9" w:rsidP="004E784C">
      <w:pPr>
        <w:pStyle w:val="Heading3"/>
      </w:pPr>
      <w:r w:rsidRPr="00F70CD1">
        <w:t>Oversight</w:t>
      </w:r>
    </w:p>
    <w:p w14:paraId="5B98E0A2" w14:textId="75ABF735" w:rsidR="006A5EFB" w:rsidRPr="00F70CD1" w:rsidRDefault="4EDA46C9" w:rsidP="00D82F62">
      <w:r w:rsidRPr="00F70CD1">
        <w:t>Ministerial oversight provided by the Social Affairs Cabinet Committee (SACC) and the Justice and Legislative Reform Cabinet Committee for any legislative reform.</w:t>
      </w:r>
    </w:p>
    <w:p w14:paraId="0FF213FE" w14:textId="77777777" w:rsidR="00635705" w:rsidRDefault="4EDA46C9" w:rsidP="004E784C">
      <w:pPr>
        <w:pStyle w:val="Heading3"/>
      </w:pPr>
      <w:r w:rsidRPr="00F70CD1">
        <w:t>Accountability</w:t>
      </w:r>
      <w:r w:rsidR="00475A7C" w:rsidRPr="00F70CD1">
        <w:t xml:space="preserve"> </w:t>
      </w:r>
      <w:r w:rsidRPr="00F70CD1">
        <w:t>and Direction</w:t>
      </w:r>
    </w:p>
    <w:p w14:paraId="188F1485" w14:textId="2FCABE44" w:rsidR="00E642DE" w:rsidRPr="00F70CD1" w:rsidRDefault="4EDA46C9" w:rsidP="00D82F62">
      <w:r w:rsidRPr="00F70CD1">
        <w:t xml:space="preserve">Relevant government and non-government agencies drive partnerships across systems and monitor agreed shared priorities. </w:t>
      </w:r>
    </w:p>
    <w:p w14:paraId="011B8FA5" w14:textId="77777777" w:rsidR="00635705" w:rsidRDefault="6049477D" w:rsidP="004E784C">
      <w:pPr>
        <w:pStyle w:val="Heading3"/>
      </w:pPr>
      <w:r w:rsidRPr="00F70CD1">
        <w:t xml:space="preserve">Implementation </w:t>
      </w:r>
    </w:p>
    <w:p w14:paraId="11FD8661" w14:textId="70762FFA" w:rsidR="00E642DE" w:rsidRPr="00F70CD1" w:rsidRDefault="6049477D" w:rsidP="00D82F62">
      <w:r w:rsidRPr="00F70CD1">
        <w:t>Partner agencies work to implement agreed actions priorities.</w:t>
      </w:r>
    </w:p>
    <w:p w14:paraId="61C1D8A7" w14:textId="2F01E47E" w:rsidR="00FF57F4" w:rsidRPr="00F70CD1" w:rsidRDefault="4EDA46C9" w:rsidP="00D82F62">
      <w:pPr>
        <w:rPr>
          <w:rStyle w:val="normaltextrun"/>
          <w:rFonts w:cs="Calibri"/>
        </w:rPr>
      </w:pPr>
      <w:r w:rsidRPr="00F70CD1">
        <w:rPr>
          <w:rStyle w:val="normaltextrun"/>
          <w:rFonts w:cs="Calibri"/>
        </w:rPr>
        <w:t>Reporting to SACC will be a Youth Justice Executive Steering Group, comprising executive membership from the following agencies:</w:t>
      </w:r>
    </w:p>
    <w:p w14:paraId="12B60AB4" w14:textId="7D964E69" w:rsidR="00FF57F4" w:rsidRPr="008928F2" w:rsidRDefault="2E72C720" w:rsidP="008928F2">
      <w:pPr>
        <w:pStyle w:val="Bullet-dash"/>
      </w:pPr>
      <w:r w:rsidRPr="008928F2">
        <w:t>Department of Human Services</w:t>
      </w:r>
    </w:p>
    <w:p w14:paraId="0A4B18A5" w14:textId="16E313A0" w:rsidR="00FF57F4" w:rsidRPr="008928F2" w:rsidRDefault="2E72C720" w:rsidP="008928F2">
      <w:pPr>
        <w:pStyle w:val="Bullet-dash"/>
      </w:pPr>
      <w:r w:rsidRPr="008928F2">
        <w:t>Department for Child Protection</w:t>
      </w:r>
    </w:p>
    <w:p w14:paraId="21D59D56" w14:textId="28390887" w:rsidR="00FF57F4" w:rsidRPr="008928F2" w:rsidRDefault="2E72C720" w:rsidP="008928F2">
      <w:pPr>
        <w:pStyle w:val="Bullet-dash"/>
      </w:pPr>
      <w:r w:rsidRPr="008928F2">
        <w:t>Department for Education</w:t>
      </w:r>
    </w:p>
    <w:p w14:paraId="39F773E1" w14:textId="5D5006B2" w:rsidR="0F65BB54" w:rsidRPr="008928F2" w:rsidRDefault="0F65BB54" w:rsidP="008928F2">
      <w:pPr>
        <w:pStyle w:val="Bullet-dash"/>
      </w:pPr>
      <w:r w:rsidRPr="008928F2">
        <w:lastRenderedPageBreak/>
        <w:t>Department for Innovation and Skills</w:t>
      </w:r>
    </w:p>
    <w:p w14:paraId="2D04A66F" w14:textId="48CF34A9" w:rsidR="00FF57F4" w:rsidRPr="008928F2" w:rsidRDefault="2E72C720" w:rsidP="008928F2">
      <w:pPr>
        <w:pStyle w:val="Bullet-dash"/>
      </w:pPr>
      <w:r w:rsidRPr="008928F2">
        <w:t>Department for Health and Wellbeing</w:t>
      </w:r>
    </w:p>
    <w:p w14:paraId="68BB93C6" w14:textId="6ECA7025" w:rsidR="00FF57F4" w:rsidRPr="008928F2" w:rsidRDefault="5EC72560" w:rsidP="008928F2">
      <w:pPr>
        <w:pStyle w:val="Bullet-dash"/>
      </w:pPr>
      <w:r w:rsidRPr="008928F2">
        <w:t>Attorney</w:t>
      </w:r>
      <w:r w:rsidR="00722F84">
        <w:t>-</w:t>
      </w:r>
      <w:r w:rsidRPr="008928F2">
        <w:t>General's Department</w:t>
      </w:r>
      <w:r w:rsidR="0A6696D6" w:rsidRPr="008928F2">
        <w:t xml:space="preserve"> </w:t>
      </w:r>
    </w:p>
    <w:p w14:paraId="4427A52A" w14:textId="54700DA0" w:rsidR="00FF57F4" w:rsidRPr="008928F2" w:rsidRDefault="4EDA46C9" w:rsidP="008928F2">
      <w:pPr>
        <w:pStyle w:val="Bullet-dash"/>
      </w:pPr>
      <w:r w:rsidRPr="008928F2">
        <w:t>Department of Correctional Services</w:t>
      </w:r>
    </w:p>
    <w:p w14:paraId="5AB501EC" w14:textId="769D15DC" w:rsidR="00FF57F4" w:rsidRPr="008928F2" w:rsidRDefault="6049477D" w:rsidP="008928F2">
      <w:pPr>
        <w:pStyle w:val="Bullet-dash"/>
      </w:pPr>
      <w:r w:rsidRPr="008928F2">
        <w:t>South Australia Police</w:t>
      </w:r>
    </w:p>
    <w:p w14:paraId="0E223C73" w14:textId="53E9C065" w:rsidR="00FF57F4" w:rsidRPr="008928F2" w:rsidRDefault="6049477D" w:rsidP="008928F2">
      <w:pPr>
        <w:pStyle w:val="Bullet-dash"/>
      </w:pPr>
      <w:r w:rsidRPr="008928F2">
        <w:t xml:space="preserve">Courts Administration Authority </w:t>
      </w:r>
    </w:p>
    <w:p w14:paraId="6E4F9A06" w14:textId="50B254D8" w:rsidR="00FF57F4" w:rsidRPr="008928F2" w:rsidRDefault="2E72C720" w:rsidP="008928F2">
      <w:pPr>
        <w:pStyle w:val="Bullet-dash"/>
      </w:pPr>
      <w:r w:rsidRPr="008928F2">
        <w:t>Aboriginal Affairs and Reconciliation (Department of</w:t>
      </w:r>
      <w:r w:rsidR="00475A7C" w:rsidRPr="008928F2">
        <w:t xml:space="preserve"> the</w:t>
      </w:r>
      <w:r w:rsidRPr="008928F2">
        <w:t xml:space="preserve"> Premier and Cabinet)</w:t>
      </w:r>
    </w:p>
    <w:p w14:paraId="3CE0F340" w14:textId="6840C764" w:rsidR="00FF57F4" w:rsidRPr="008928F2" w:rsidRDefault="4EDA46C9" w:rsidP="008928F2">
      <w:pPr>
        <w:pStyle w:val="Bullet-dash"/>
      </w:pPr>
      <w:r w:rsidRPr="008928F2">
        <w:t>South Australian Housing Authority</w:t>
      </w:r>
      <w:r w:rsidR="008171A0" w:rsidRPr="008928F2">
        <w:t>.</w:t>
      </w:r>
    </w:p>
    <w:p w14:paraId="48BC1101" w14:textId="5B70587D" w:rsidR="00FF57F4" w:rsidRPr="00F70CD1" w:rsidRDefault="6049477D" w:rsidP="00D82F62">
      <w:pPr>
        <w:rPr>
          <w:rStyle w:val="normaltextrun"/>
          <w:rFonts w:cs="Calibri"/>
        </w:rPr>
      </w:pPr>
      <w:r w:rsidRPr="00F70CD1">
        <w:rPr>
          <w:rStyle w:val="normaltextrun"/>
          <w:rFonts w:cs="Calibri"/>
        </w:rPr>
        <w:t>The initial priorities for this new Steering Group will be:</w:t>
      </w:r>
    </w:p>
    <w:p w14:paraId="3DA6EF07" w14:textId="4940CBAA" w:rsidR="00FF57F4" w:rsidRPr="008928F2" w:rsidRDefault="2E72C720" w:rsidP="008928F2">
      <w:pPr>
        <w:pStyle w:val="Bullet-dash"/>
      </w:pPr>
      <w:r w:rsidRPr="008928F2">
        <w:t>Determining project teams for the completion of each identified action</w:t>
      </w:r>
    </w:p>
    <w:p w14:paraId="55D21585" w14:textId="31CDD175" w:rsidR="00CB6BDA" w:rsidRPr="008928F2" w:rsidRDefault="2E72C720" w:rsidP="008928F2">
      <w:pPr>
        <w:pStyle w:val="Bullet-dash"/>
      </w:pPr>
      <w:r w:rsidRPr="008928F2">
        <w:t>Prioritising projects for delivery</w:t>
      </w:r>
    </w:p>
    <w:p w14:paraId="072F6376" w14:textId="182E2391" w:rsidR="00CB6BDA" w:rsidRPr="008928F2" w:rsidRDefault="6049477D" w:rsidP="008928F2">
      <w:pPr>
        <w:pStyle w:val="Bullet-dash"/>
      </w:pPr>
      <w:r w:rsidRPr="008928F2">
        <w:t>Finalising an outcomes framework with which to measure system performance</w:t>
      </w:r>
      <w:r w:rsidR="008171A0" w:rsidRPr="008928F2">
        <w:t>.</w:t>
      </w:r>
    </w:p>
    <w:p w14:paraId="449E3353" w14:textId="62BF8932" w:rsidR="001D5BCD" w:rsidRDefault="46FD169E" w:rsidP="00D82F62">
      <w:pPr>
        <w:rPr>
          <w:rStyle w:val="normaltextrun"/>
          <w:rFonts w:cs="Calibri"/>
        </w:rPr>
      </w:pPr>
      <w:r w:rsidRPr="00F70CD1">
        <w:rPr>
          <w:rStyle w:val="normaltextrun"/>
          <w:rFonts w:cs="Calibri"/>
        </w:rPr>
        <w:t xml:space="preserve">The established Youth Justice Aboriginal Advisory Committee </w:t>
      </w:r>
      <w:r w:rsidR="00002554">
        <w:rPr>
          <w:rStyle w:val="normaltextrun"/>
          <w:rFonts w:cs="Calibri"/>
        </w:rPr>
        <w:t xml:space="preserve">(YJAAC) </w:t>
      </w:r>
      <w:r w:rsidRPr="00F70CD1">
        <w:rPr>
          <w:rStyle w:val="normaltextrun"/>
          <w:rFonts w:cs="Calibri"/>
        </w:rPr>
        <w:t>will continue to provide advice to the Steering Group and project working groups.</w:t>
      </w:r>
      <w:r w:rsidR="008939E5">
        <w:rPr>
          <w:rStyle w:val="normaltextrun"/>
          <w:rFonts w:cs="Calibri"/>
        </w:rPr>
        <w:t xml:space="preserve"> </w:t>
      </w:r>
      <w:r w:rsidR="00CD1A5A">
        <w:rPr>
          <w:rStyle w:val="normaltextrun"/>
          <w:rFonts w:cs="Calibri"/>
        </w:rPr>
        <w:t xml:space="preserve">Opportunities for </w:t>
      </w:r>
      <w:r w:rsidR="00127F89">
        <w:rPr>
          <w:rStyle w:val="normaltextrun"/>
          <w:rFonts w:cs="Calibri"/>
        </w:rPr>
        <w:t>further</w:t>
      </w:r>
      <w:r w:rsidR="0083311F">
        <w:rPr>
          <w:rStyle w:val="normaltextrun"/>
          <w:rFonts w:cs="Calibri"/>
        </w:rPr>
        <w:t xml:space="preserve"> engagement with the non-government sector will</w:t>
      </w:r>
      <w:r w:rsidR="00CD3135">
        <w:rPr>
          <w:rStyle w:val="normaltextrun"/>
          <w:rFonts w:cs="Calibri"/>
        </w:rPr>
        <w:t xml:space="preserve"> be sought to</w:t>
      </w:r>
      <w:r w:rsidR="0083311F">
        <w:rPr>
          <w:rStyle w:val="normaltextrun"/>
          <w:rFonts w:cs="Calibri"/>
        </w:rPr>
        <w:t xml:space="preserve"> </w:t>
      </w:r>
      <w:r w:rsidR="008D7D4E">
        <w:rPr>
          <w:rStyle w:val="normaltextrun"/>
          <w:rFonts w:cs="Calibri"/>
        </w:rPr>
        <w:t>support implementation of shared priorities.</w:t>
      </w:r>
    </w:p>
    <w:p w14:paraId="4F245B95" w14:textId="52559857" w:rsidR="00002554" w:rsidRPr="00F70CD1" w:rsidRDefault="00002554" w:rsidP="00D82F62">
      <w:pPr>
        <w:rPr>
          <w:rStyle w:val="normaltextrun"/>
          <w:rFonts w:cs="Calibri"/>
        </w:rPr>
      </w:pPr>
      <w:proofErr w:type="gramStart"/>
      <w:r w:rsidRPr="506C967F">
        <w:rPr>
          <w:rStyle w:val="normaltextrun"/>
          <w:rFonts w:cs="Calibri"/>
        </w:rPr>
        <w:t>A number of</w:t>
      </w:r>
      <w:proofErr w:type="gramEnd"/>
      <w:r w:rsidRPr="506C967F">
        <w:rPr>
          <w:rStyle w:val="normaltextrun"/>
          <w:rFonts w:cs="Calibri"/>
        </w:rPr>
        <w:t xml:space="preserve"> strategic relationships with statutory offices support a transparent and progressive youth justice system in South Australia. This includes </w:t>
      </w:r>
      <w:r w:rsidR="000C1977" w:rsidRPr="506C967F">
        <w:rPr>
          <w:rStyle w:val="normaltextrun"/>
          <w:rFonts w:cs="Calibri"/>
        </w:rPr>
        <w:t xml:space="preserve">ongoing </w:t>
      </w:r>
      <w:r w:rsidRPr="506C967F">
        <w:rPr>
          <w:rStyle w:val="normaltextrun"/>
          <w:rFonts w:cs="Calibri"/>
        </w:rPr>
        <w:t>independent visiting</w:t>
      </w:r>
      <w:r w:rsidR="000C1977" w:rsidRPr="506C967F">
        <w:rPr>
          <w:rStyle w:val="normaltextrun"/>
          <w:rFonts w:cs="Calibri"/>
        </w:rPr>
        <w:t xml:space="preserve">, advocacy and inspection functions of the Training Centre Visitor , </w:t>
      </w:r>
      <w:r w:rsidR="00130EF5">
        <w:rPr>
          <w:rStyle w:val="normaltextrun"/>
          <w:rFonts w:cs="Calibri"/>
        </w:rPr>
        <w:t xml:space="preserve">OPCAT NPM, </w:t>
      </w:r>
      <w:r w:rsidR="000C1977" w:rsidRPr="506C967F">
        <w:rPr>
          <w:rStyle w:val="normaltextrun"/>
          <w:rFonts w:cs="Calibri"/>
        </w:rPr>
        <w:t xml:space="preserve">oversight and current reporting requirements to the Ombudsman SA, and shared priorities </w:t>
      </w:r>
      <w:r w:rsidR="00030AE4" w:rsidRPr="506C967F">
        <w:rPr>
          <w:rStyle w:val="normaltextrun"/>
          <w:rFonts w:cs="Calibri"/>
        </w:rPr>
        <w:t>with the Commissioner for Abori</w:t>
      </w:r>
      <w:r w:rsidR="00B07835">
        <w:rPr>
          <w:rStyle w:val="normaltextrun"/>
          <w:rFonts w:cs="Calibri"/>
        </w:rPr>
        <w:t xml:space="preserve">ginal Children and Young People, </w:t>
      </w:r>
      <w:r w:rsidR="00030AE4" w:rsidRPr="506C967F">
        <w:rPr>
          <w:rStyle w:val="normaltextrun"/>
          <w:rFonts w:cs="Calibri"/>
        </w:rPr>
        <w:t>the Commissioner for Children and Young People</w:t>
      </w:r>
      <w:r w:rsidR="00B07835">
        <w:rPr>
          <w:rStyle w:val="normaltextrun"/>
          <w:rFonts w:cs="Calibri"/>
        </w:rPr>
        <w:t xml:space="preserve"> and the Commissioner for Victims’ Rights</w:t>
      </w:r>
      <w:r w:rsidR="00030AE4" w:rsidRPr="506C967F">
        <w:rPr>
          <w:rStyle w:val="normaltextrun"/>
          <w:rFonts w:cs="Calibri"/>
        </w:rPr>
        <w:t>.</w:t>
      </w:r>
    </w:p>
    <w:p w14:paraId="74D401FB" w14:textId="5F8B1014" w:rsidR="008E4F51" w:rsidRPr="00F70CD1" w:rsidRDefault="4EDA46C9" w:rsidP="00D82F62">
      <w:pPr>
        <w:rPr>
          <w:rStyle w:val="normaltextrun"/>
          <w:rFonts w:cs="Calibri"/>
        </w:rPr>
        <w:sectPr w:rsidR="008E4F51" w:rsidRPr="00F70CD1" w:rsidSect="00DB3BDB">
          <w:footerReference w:type="default" r:id="rId14"/>
          <w:pgSz w:w="11906" w:h="16838"/>
          <w:pgMar w:top="1440" w:right="1080" w:bottom="851" w:left="1080" w:header="708" w:footer="196" w:gutter="0"/>
          <w:cols w:space="708"/>
          <w:titlePg/>
          <w:docGrid w:linePitch="360"/>
        </w:sectPr>
      </w:pPr>
      <w:r w:rsidRPr="00F70CD1">
        <w:rPr>
          <w:rStyle w:val="normaltextrun"/>
          <w:rFonts w:cs="Calibri"/>
        </w:rPr>
        <w:t xml:space="preserve">An update on the plan’s progress will be made publicly available in </w:t>
      </w:r>
      <w:r w:rsidR="00067AC1">
        <w:rPr>
          <w:rStyle w:val="normaltextrun"/>
          <w:rFonts w:cs="Calibri"/>
        </w:rPr>
        <w:t>May</w:t>
      </w:r>
      <w:r w:rsidR="00521EB7" w:rsidRPr="00F70CD1">
        <w:rPr>
          <w:rStyle w:val="normaltextrun"/>
          <w:rFonts w:cs="Calibri"/>
        </w:rPr>
        <w:t xml:space="preserve"> </w:t>
      </w:r>
      <w:r w:rsidRPr="00F70CD1">
        <w:rPr>
          <w:rStyle w:val="normaltextrun"/>
          <w:rFonts w:cs="Calibri"/>
        </w:rPr>
        <w:t>2021.</w:t>
      </w:r>
    </w:p>
    <w:p w14:paraId="50762CC0" w14:textId="52DFFCB3" w:rsidR="006B239F" w:rsidRDefault="006B239F" w:rsidP="00D82F62">
      <w:pPr>
        <w:pStyle w:val="Heading2"/>
      </w:pPr>
      <w:bookmarkStart w:id="19" w:name="_Toc40782132"/>
      <w:r w:rsidRPr="006B7063">
        <w:lastRenderedPageBreak/>
        <w:t>Delivery Plan</w:t>
      </w:r>
      <w:bookmarkEnd w:id="19"/>
    </w:p>
    <w:p w14:paraId="75EE3557" w14:textId="033341C7" w:rsidR="00635705" w:rsidRPr="008928F2" w:rsidRDefault="00635705" w:rsidP="004E784C">
      <w:pPr>
        <w:pStyle w:val="Heading3"/>
        <w:numPr>
          <w:ilvl w:val="0"/>
          <w:numId w:val="17"/>
        </w:numPr>
      </w:pPr>
      <w:r w:rsidRPr="008928F2">
        <w:t>Young people’s wellbeing – Young people’s safety and wellbeing is at the heart of our services.</w:t>
      </w:r>
    </w:p>
    <w:p w14:paraId="0F828422" w14:textId="77777777" w:rsidR="006B239F" w:rsidRPr="00F70CD1" w:rsidRDefault="006B239F" w:rsidP="00D82F62"/>
    <w:tbl>
      <w:tblPr>
        <w:tblW w:w="14193" w:type="dxa"/>
        <w:tblLayout w:type="fixed"/>
        <w:tblLook w:val="04A0" w:firstRow="1" w:lastRow="0" w:firstColumn="1" w:lastColumn="0" w:noHBand="0" w:noVBand="1"/>
      </w:tblPr>
      <w:tblGrid>
        <w:gridCol w:w="724"/>
        <w:gridCol w:w="4241"/>
        <w:gridCol w:w="3102"/>
        <w:gridCol w:w="902"/>
        <w:gridCol w:w="2169"/>
        <w:gridCol w:w="3055"/>
      </w:tblGrid>
      <w:tr w:rsidR="002D5816" w:rsidRPr="008928F2" w14:paraId="18DBD5B3" w14:textId="1BF2374E" w:rsidTr="00A021D2">
        <w:trPr>
          <w:tblHeader/>
        </w:trPr>
        <w:tc>
          <w:tcPr>
            <w:tcW w:w="709" w:type="dxa"/>
            <w:shd w:val="clear" w:color="auto" w:fill="F2F2F2" w:themeFill="background1" w:themeFillShade="F2"/>
            <w:vAlign w:val="center"/>
          </w:tcPr>
          <w:p w14:paraId="29A61899" w14:textId="3B25D142" w:rsidR="002D5816" w:rsidRPr="008928F2" w:rsidRDefault="00635705" w:rsidP="008928F2">
            <w:pPr>
              <w:pStyle w:val="Table-Header"/>
            </w:pPr>
            <w:r w:rsidRPr="008928F2">
              <w:t>#</w:t>
            </w:r>
          </w:p>
        </w:tc>
        <w:tc>
          <w:tcPr>
            <w:tcW w:w="4156" w:type="dxa"/>
            <w:shd w:val="clear" w:color="auto" w:fill="F2F2F2" w:themeFill="background1" w:themeFillShade="F2"/>
            <w:vAlign w:val="center"/>
          </w:tcPr>
          <w:p w14:paraId="000061D6" w14:textId="7F13966B" w:rsidR="002D5816" w:rsidRPr="008928F2" w:rsidRDefault="002D5816" w:rsidP="008928F2">
            <w:pPr>
              <w:pStyle w:val="Table-Header"/>
            </w:pPr>
            <w:r w:rsidRPr="008928F2">
              <w:t xml:space="preserve">Project </w:t>
            </w:r>
          </w:p>
        </w:tc>
        <w:tc>
          <w:tcPr>
            <w:tcW w:w="3040" w:type="dxa"/>
            <w:shd w:val="clear" w:color="auto" w:fill="F2F2F2" w:themeFill="background1" w:themeFillShade="F2"/>
            <w:vAlign w:val="center"/>
          </w:tcPr>
          <w:p w14:paraId="4F2D4CFE" w14:textId="49113B83" w:rsidR="002D5816" w:rsidRPr="008928F2" w:rsidRDefault="002D5816" w:rsidP="008928F2">
            <w:pPr>
              <w:pStyle w:val="Table-Header"/>
            </w:pPr>
            <w:r w:rsidRPr="008928F2">
              <w:t>Partners</w:t>
            </w:r>
          </w:p>
        </w:tc>
        <w:tc>
          <w:tcPr>
            <w:tcW w:w="884" w:type="dxa"/>
            <w:shd w:val="clear" w:color="auto" w:fill="F2F2F2" w:themeFill="background1" w:themeFillShade="F2"/>
            <w:vAlign w:val="center"/>
          </w:tcPr>
          <w:p w14:paraId="2835A00C" w14:textId="6D375E94" w:rsidR="002D5816" w:rsidRPr="008928F2" w:rsidRDefault="002D5816" w:rsidP="008928F2">
            <w:pPr>
              <w:pStyle w:val="Table-Header"/>
            </w:pPr>
            <w:r w:rsidRPr="008928F2">
              <w:t>Lead</w:t>
            </w:r>
          </w:p>
        </w:tc>
        <w:tc>
          <w:tcPr>
            <w:tcW w:w="2126" w:type="dxa"/>
            <w:shd w:val="clear" w:color="auto" w:fill="F2F2F2" w:themeFill="background1" w:themeFillShade="F2"/>
            <w:vAlign w:val="center"/>
          </w:tcPr>
          <w:p w14:paraId="1250B27D" w14:textId="7127729E" w:rsidR="002D5816" w:rsidRPr="008928F2" w:rsidRDefault="002D5816" w:rsidP="008928F2">
            <w:pPr>
              <w:pStyle w:val="Table-Header"/>
            </w:pPr>
            <w:r w:rsidRPr="008928F2">
              <w:t xml:space="preserve">Timeframe </w:t>
            </w:r>
          </w:p>
        </w:tc>
        <w:tc>
          <w:tcPr>
            <w:tcW w:w="2994" w:type="dxa"/>
            <w:shd w:val="clear" w:color="auto" w:fill="F2F2F2" w:themeFill="background1" w:themeFillShade="F2"/>
            <w:vAlign w:val="center"/>
          </w:tcPr>
          <w:p w14:paraId="364060FC" w14:textId="1164FBCF" w:rsidR="002D5816" w:rsidRPr="008928F2" w:rsidRDefault="002D5816" w:rsidP="008928F2">
            <w:pPr>
              <w:pStyle w:val="Table-Header"/>
            </w:pPr>
            <w:r w:rsidRPr="008928F2">
              <w:t>Strategy / Policy / Operational</w:t>
            </w:r>
          </w:p>
        </w:tc>
      </w:tr>
      <w:tr w:rsidR="00EC74A8" w:rsidRPr="008928F2" w14:paraId="6D4DD60C" w14:textId="6340BB3D" w:rsidTr="00A021D2">
        <w:tc>
          <w:tcPr>
            <w:tcW w:w="709" w:type="dxa"/>
            <w:tcBorders>
              <w:bottom w:val="single" w:sz="4" w:space="0" w:color="auto"/>
            </w:tcBorders>
            <w:shd w:val="clear" w:color="auto" w:fill="auto"/>
          </w:tcPr>
          <w:p w14:paraId="71254DE3" w14:textId="3F66345C" w:rsidR="00EC74A8" w:rsidRPr="008928F2" w:rsidRDefault="40B396FF" w:rsidP="008928F2">
            <w:pPr>
              <w:pStyle w:val="Table-Text"/>
            </w:pPr>
            <w:r w:rsidRPr="008928F2">
              <w:t>1</w:t>
            </w:r>
            <w:r w:rsidR="00286927" w:rsidRPr="008928F2">
              <w:t>.1</w:t>
            </w:r>
          </w:p>
        </w:tc>
        <w:tc>
          <w:tcPr>
            <w:tcW w:w="4156" w:type="dxa"/>
            <w:tcBorders>
              <w:bottom w:val="single" w:sz="4" w:space="0" w:color="auto"/>
            </w:tcBorders>
          </w:tcPr>
          <w:p w14:paraId="1E7B79F4" w14:textId="4F9610F4" w:rsidR="00135CF9" w:rsidRPr="008928F2" w:rsidRDefault="0513D346" w:rsidP="008928F2">
            <w:pPr>
              <w:pStyle w:val="Table-Text"/>
            </w:pPr>
            <w:r w:rsidRPr="008928F2">
              <w:t>Continue delivering on actions in line with recommendations from the Ombudsman SA and Training Centre Visitor</w:t>
            </w:r>
          </w:p>
        </w:tc>
        <w:tc>
          <w:tcPr>
            <w:tcW w:w="3040" w:type="dxa"/>
            <w:tcBorders>
              <w:bottom w:val="single" w:sz="4" w:space="0" w:color="auto"/>
            </w:tcBorders>
          </w:tcPr>
          <w:p w14:paraId="2CB76D92" w14:textId="784F81C4" w:rsidR="00EC74A8" w:rsidRPr="008928F2" w:rsidRDefault="00F70F62" w:rsidP="008928F2">
            <w:pPr>
              <w:pStyle w:val="Table-Text"/>
            </w:pPr>
            <w:r w:rsidRPr="008928F2">
              <w:t>TCV</w:t>
            </w:r>
          </w:p>
          <w:p w14:paraId="2EB47172" w14:textId="6AC73BD6" w:rsidR="00EC74A8" w:rsidRPr="008928F2" w:rsidRDefault="00F70F62" w:rsidP="008928F2">
            <w:pPr>
              <w:pStyle w:val="Table-Text"/>
            </w:pPr>
            <w:r w:rsidRPr="008928F2">
              <w:t>Ombudsman</w:t>
            </w:r>
          </w:p>
        </w:tc>
        <w:tc>
          <w:tcPr>
            <w:tcW w:w="884" w:type="dxa"/>
            <w:tcBorders>
              <w:bottom w:val="single" w:sz="4" w:space="0" w:color="auto"/>
            </w:tcBorders>
          </w:tcPr>
          <w:p w14:paraId="3E026DD9" w14:textId="28CE72F4" w:rsidR="00EC74A8" w:rsidRPr="008928F2" w:rsidRDefault="008D2B49" w:rsidP="008928F2">
            <w:pPr>
              <w:pStyle w:val="Table-Text"/>
            </w:pPr>
            <w:r w:rsidRPr="008928F2">
              <w:t>DHS</w:t>
            </w:r>
          </w:p>
        </w:tc>
        <w:tc>
          <w:tcPr>
            <w:tcW w:w="2126" w:type="dxa"/>
            <w:tcBorders>
              <w:bottom w:val="single" w:sz="4" w:space="0" w:color="auto"/>
            </w:tcBorders>
          </w:tcPr>
          <w:p w14:paraId="6B2B0680" w14:textId="08A19518" w:rsidR="00EC74A8" w:rsidRPr="008928F2" w:rsidRDefault="00DD61BA" w:rsidP="008928F2">
            <w:pPr>
              <w:pStyle w:val="Table-Text"/>
            </w:pPr>
            <w:r w:rsidRPr="008928F2">
              <w:t>30 June 2021</w:t>
            </w:r>
          </w:p>
        </w:tc>
        <w:tc>
          <w:tcPr>
            <w:tcW w:w="2994" w:type="dxa"/>
            <w:tcBorders>
              <w:bottom w:val="single" w:sz="4" w:space="0" w:color="auto"/>
            </w:tcBorders>
          </w:tcPr>
          <w:p w14:paraId="455BED60" w14:textId="5AC6281B" w:rsidR="00EC74A8" w:rsidRPr="008928F2" w:rsidRDefault="00365AD7" w:rsidP="008928F2">
            <w:pPr>
              <w:pStyle w:val="Table-Text"/>
            </w:pPr>
            <w:r w:rsidRPr="008928F2">
              <w:t>Strategy, Policy and Operational</w:t>
            </w:r>
          </w:p>
        </w:tc>
      </w:tr>
      <w:tr w:rsidR="00C23B68" w:rsidRPr="008928F2" w14:paraId="6DC681D5" w14:textId="699E6DC3" w:rsidTr="00A021D2">
        <w:tc>
          <w:tcPr>
            <w:tcW w:w="709" w:type="dxa"/>
            <w:tcBorders>
              <w:top w:val="single" w:sz="4" w:space="0" w:color="auto"/>
              <w:bottom w:val="single" w:sz="4" w:space="0" w:color="auto"/>
            </w:tcBorders>
            <w:shd w:val="clear" w:color="auto" w:fill="auto"/>
          </w:tcPr>
          <w:p w14:paraId="14288A17" w14:textId="45AB88F1" w:rsidR="00C23B68" w:rsidRPr="008928F2" w:rsidRDefault="00286927" w:rsidP="008928F2">
            <w:pPr>
              <w:pStyle w:val="Table-Text"/>
            </w:pPr>
            <w:r w:rsidRPr="008928F2">
              <w:t>1.2</w:t>
            </w:r>
          </w:p>
        </w:tc>
        <w:tc>
          <w:tcPr>
            <w:tcW w:w="4156" w:type="dxa"/>
            <w:tcBorders>
              <w:top w:val="single" w:sz="4" w:space="0" w:color="auto"/>
              <w:bottom w:val="single" w:sz="4" w:space="0" w:color="auto"/>
            </w:tcBorders>
          </w:tcPr>
          <w:p w14:paraId="19D5706D" w14:textId="1BF54389" w:rsidR="00C23B68" w:rsidRPr="008928F2" w:rsidRDefault="00655F55" w:rsidP="008928F2">
            <w:pPr>
              <w:pStyle w:val="Table-Text"/>
            </w:pPr>
            <w:r w:rsidRPr="008928F2">
              <w:t xml:space="preserve">Develop and deliver a consolidated Programs Framework and Delivery Plan </w:t>
            </w:r>
          </w:p>
        </w:tc>
        <w:tc>
          <w:tcPr>
            <w:tcW w:w="3040" w:type="dxa"/>
            <w:tcBorders>
              <w:top w:val="single" w:sz="4" w:space="0" w:color="auto"/>
              <w:bottom w:val="single" w:sz="4" w:space="0" w:color="auto"/>
            </w:tcBorders>
          </w:tcPr>
          <w:p w14:paraId="3AC6E855" w14:textId="77777777" w:rsidR="000938AC" w:rsidRPr="008928F2" w:rsidRDefault="00EA108F" w:rsidP="008928F2">
            <w:pPr>
              <w:pStyle w:val="Table-Text"/>
            </w:pPr>
            <w:r w:rsidRPr="008928F2">
              <w:t>NGO</w:t>
            </w:r>
            <w:r w:rsidR="00F44BBB" w:rsidRPr="008928F2">
              <w:t>s</w:t>
            </w:r>
          </w:p>
          <w:p w14:paraId="1B4F9BE8" w14:textId="478F0140" w:rsidR="000938AC" w:rsidRPr="008928F2" w:rsidRDefault="002736D0" w:rsidP="008928F2">
            <w:pPr>
              <w:pStyle w:val="Table-Text"/>
            </w:pPr>
            <w:r w:rsidRPr="008928F2">
              <w:t>Education</w:t>
            </w:r>
            <w:r w:rsidR="003E1773" w:rsidRPr="008928F2">
              <w:tab/>
            </w:r>
          </w:p>
          <w:p w14:paraId="35614F3E" w14:textId="323610CD" w:rsidR="00C23B68" w:rsidRPr="008928F2" w:rsidRDefault="006D5447" w:rsidP="008928F2">
            <w:pPr>
              <w:pStyle w:val="Table-Text"/>
            </w:pPr>
            <w:r w:rsidRPr="008928F2">
              <w:t>SA Health</w:t>
            </w:r>
          </w:p>
        </w:tc>
        <w:tc>
          <w:tcPr>
            <w:tcW w:w="884" w:type="dxa"/>
            <w:tcBorders>
              <w:top w:val="single" w:sz="4" w:space="0" w:color="auto"/>
              <w:bottom w:val="single" w:sz="4" w:space="0" w:color="auto"/>
            </w:tcBorders>
          </w:tcPr>
          <w:p w14:paraId="6162D2E0" w14:textId="64806689" w:rsidR="00C23B68" w:rsidRPr="008928F2" w:rsidRDefault="008D2B49" w:rsidP="008928F2">
            <w:pPr>
              <w:pStyle w:val="Table-Text"/>
            </w:pPr>
            <w:r w:rsidRPr="008928F2">
              <w:t>DHS</w:t>
            </w:r>
          </w:p>
        </w:tc>
        <w:tc>
          <w:tcPr>
            <w:tcW w:w="2126" w:type="dxa"/>
            <w:tcBorders>
              <w:top w:val="single" w:sz="4" w:space="0" w:color="auto"/>
              <w:bottom w:val="single" w:sz="4" w:space="0" w:color="auto"/>
            </w:tcBorders>
          </w:tcPr>
          <w:p w14:paraId="351A8BF7" w14:textId="78471CFE" w:rsidR="00C23B68" w:rsidRPr="008928F2" w:rsidRDefault="00DD61BA" w:rsidP="008928F2">
            <w:pPr>
              <w:pStyle w:val="Table-Text"/>
            </w:pPr>
            <w:r w:rsidRPr="008928F2">
              <w:t>30 June</w:t>
            </w:r>
            <w:r w:rsidR="00764017" w:rsidRPr="008928F2">
              <w:t xml:space="preserve"> 2021</w:t>
            </w:r>
          </w:p>
        </w:tc>
        <w:tc>
          <w:tcPr>
            <w:tcW w:w="2994" w:type="dxa"/>
            <w:tcBorders>
              <w:top w:val="single" w:sz="4" w:space="0" w:color="auto"/>
              <w:bottom w:val="single" w:sz="4" w:space="0" w:color="auto"/>
            </w:tcBorders>
          </w:tcPr>
          <w:p w14:paraId="7DE5C048" w14:textId="60A7030C" w:rsidR="00C23B68" w:rsidRPr="008928F2" w:rsidRDefault="00393C91" w:rsidP="008928F2">
            <w:pPr>
              <w:pStyle w:val="Table-Text"/>
            </w:pPr>
            <w:r w:rsidRPr="008928F2">
              <w:t>Strategy</w:t>
            </w:r>
          </w:p>
        </w:tc>
      </w:tr>
      <w:tr w:rsidR="00C23B68" w:rsidRPr="008928F2" w14:paraId="17A8444B" w14:textId="6D308DB4" w:rsidTr="00A021D2">
        <w:tc>
          <w:tcPr>
            <w:tcW w:w="709" w:type="dxa"/>
            <w:tcBorders>
              <w:top w:val="single" w:sz="4" w:space="0" w:color="auto"/>
            </w:tcBorders>
          </w:tcPr>
          <w:p w14:paraId="06838DF2" w14:textId="5794141C" w:rsidR="00C23B68" w:rsidRPr="008928F2" w:rsidRDefault="00286927" w:rsidP="008928F2">
            <w:pPr>
              <w:pStyle w:val="Table-Text"/>
            </w:pPr>
            <w:r w:rsidRPr="008928F2">
              <w:t>1.3</w:t>
            </w:r>
          </w:p>
        </w:tc>
        <w:tc>
          <w:tcPr>
            <w:tcW w:w="4156" w:type="dxa"/>
            <w:tcBorders>
              <w:top w:val="single" w:sz="4" w:space="0" w:color="auto"/>
            </w:tcBorders>
          </w:tcPr>
          <w:p w14:paraId="50687C2F" w14:textId="77777777" w:rsidR="00C23B68" w:rsidRPr="008928F2" w:rsidRDefault="00C23B68" w:rsidP="008928F2">
            <w:pPr>
              <w:pStyle w:val="Table-Text"/>
            </w:pPr>
            <w:r w:rsidRPr="008928F2">
              <w:t>Implement improvements identified in the Youth Justice Assessment and Intervention Services Disability Screening project</w:t>
            </w:r>
            <w:r w:rsidR="0030688D" w:rsidRPr="008928F2">
              <w:t>.</w:t>
            </w:r>
          </w:p>
          <w:p w14:paraId="11553B68" w14:textId="34D0FC36" w:rsidR="00591FF2" w:rsidRPr="008928F2" w:rsidRDefault="00591FF2" w:rsidP="008928F2">
            <w:pPr>
              <w:pStyle w:val="Table-Text"/>
            </w:pPr>
          </w:p>
        </w:tc>
        <w:tc>
          <w:tcPr>
            <w:tcW w:w="3040" w:type="dxa"/>
            <w:tcBorders>
              <w:top w:val="single" w:sz="4" w:space="0" w:color="auto"/>
            </w:tcBorders>
          </w:tcPr>
          <w:p w14:paraId="22A51272" w14:textId="3CC72CC5" w:rsidR="00C23B68" w:rsidRPr="008928F2" w:rsidRDefault="53220CDB" w:rsidP="008928F2">
            <w:pPr>
              <w:pStyle w:val="Table-Text"/>
            </w:pPr>
            <w:r w:rsidRPr="008928F2">
              <w:t xml:space="preserve">SA </w:t>
            </w:r>
            <w:r w:rsidR="31F3DD7F" w:rsidRPr="008928F2">
              <w:t>Health</w:t>
            </w:r>
            <w:r w:rsidR="008A159A">
              <w:t xml:space="preserve"> </w:t>
            </w:r>
          </w:p>
        </w:tc>
        <w:tc>
          <w:tcPr>
            <w:tcW w:w="884" w:type="dxa"/>
            <w:tcBorders>
              <w:top w:val="single" w:sz="4" w:space="0" w:color="auto"/>
            </w:tcBorders>
          </w:tcPr>
          <w:p w14:paraId="47D35E77" w14:textId="67610130" w:rsidR="00C23B68" w:rsidRPr="008928F2" w:rsidRDefault="008D2B49" w:rsidP="008928F2">
            <w:pPr>
              <w:pStyle w:val="Table-Text"/>
            </w:pPr>
            <w:r w:rsidRPr="008928F2">
              <w:t>DHS</w:t>
            </w:r>
          </w:p>
        </w:tc>
        <w:tc>
          <w:tcPr>
            <w:tcW w:w="2126" w:type="dxa"/>
            <w:tcBorders>
              <w:top w:val="single" w:sz="4" w:space="0" w:color="auto"/>
            </w:tcBorders>
          </w:tcPr>
          <w:p w14:paraId="21BF969E" w14:textId="4D94A6C7" w:rsidR="00C23B68" w:rsidRPr="008928F2" w:rsidRDefault="00DD61BA" w:rsidP="008928F2">
            <w:pPr>
              <w:pStyle w:val="Table-Text"/>
            </w:pPr>
            <w:r w:rsidRPr="008928F2">
              <w:t>30 June</w:t>
            </w:r>
            <w:r w:rsidR="005F2521" w:rsidRPr="008928F2">
              <w:t xml:space="preserve"> 2021</w:t>
            </w:r>
          </w:p>
        </w:tc>
        <w:tc>
          <w:tcPr>
            <w:tcW w:w="2994" w:type="dxa"/>
            <w:tcBorders>
              <w:top w:val="single" w:sz="4" w:space="0" w:color="auto"/>
            </w:tcBorders>
          </w:tcPr>
          <w:p w14:paraId="7AB91DFC" w14:textId="064F38EC" w:rsidR="00C23B68" w:rsidRPr="008928F2" w:rsidRDefault="008E1CB9" w:rsidP="008928F2">
            <w:pPr>
              <w:pStyle w:val="Table-Text"/>
            </w:pPr>
            <w:r w:rsidRPr="008928F2">
              <w:t>Strategy, Policy and Operational</w:t>
            </w:r>
          </w:p>
        </w:tc>
      </w:tr>
      <w:tr w:rsidR="00C23B68" w:rsidRPr="008928F2" w14:paraId="1BDE7D9F" w14:textId="33A2B0AE" w:rsidTr="00A021D2">
        <w:tc>
          <w:tcPr>
            <w:tcW w:w="709" w:type="dxa"/>
            <w:tcBorders>
              <w:bottom w:val="single" w:sz="4" w:space="0" w:color="auto"/>
            </w:tcBorders>
          </w:tcPr>
          <w:p w14:paraId="093E32F3" w14:textId="716A5D5F" w:rsidR="00C23B68" w:rsidRPr="008928F2" w:rsidRDefault="00286927" w:rsidP="008928F2">
            <w:pPr>
              <w:pStyle w:val="Table-Text"/>
            </w:pPr>
            <w:r w:rsidRPr="008928F2">
              <w:t>1.4</w:t>
            </w:r>
          </w:p>
        </w:tc>
        <w:tc>
          <w:tcPr>
            <w:tcW w:w="4156" w:type="dxa"/>
            <w:tcBorders>
              <w:bottom w:val="single" w:sz="4" w:space="0" w:color="auto"/>
            </w:tcBorders>
          </w:tcPr>
          <w:p w14:paraId="0278D4FD" w14:textId="7D04BB99" w:rsidR="00C23B68" w:rsidRPr="008928F2" w:rsidRDefault="00EC2A2D" w:rsidP="008928F2">
            <w:pPr>
              <w:pStyle w:val="Table-Text"/>
            </w:pPr>
            <w:r w:rsidRPr="008928F2">
              <w:t>Design and i</w:t>
            </w:r>
            <w:r w:rsidR="0FE00667" w:rsidRPr="008928F2">
              <w:t>mplement</w:t>
            </w:r>
            <w:r w:rsidR="1AA7669C" w:rsidRPr="008928F2">
              <w:t xml:space="preserve"> a revised assessment approach incorporating information sharing between agencies, including specifically considering the </w:t>
            </w:r>
            <w:r w:rsidR="0FE00667" w:rsidRPr="008928F2">
              <w:t xml:space="preserve">individual needs of children and </w:t>
            </w:r>
            <w:r w:rsidR="1AA7669C" w:rsidRPr="008928F2">
              <w:t xml:space="preserve">young </w:t>
            </w:r>
            <w:r w:rsidR="00854CB2" w:rsidRPr="008928F2">
              <w:lastRenderedPageBreak/>
              <w:t>people, and understanding the impact of crime.</w:t>
            </w:r>
            <w:r w:rsidR="008A159A">
              <w:t xml:space="preserve">      </w:t>
            </w:r>
            <w:r w:rsidR="00C47035" w:rsidRPr="008928F2">
              <w:t xml:space="preserve"> </w:t>
            </w:r>
          </w:p>
          <w:p w14:paraId="6C6B5165" w14:textId="769D0FEC" w:rsidR="00C47035" w:rsidRPr="008928F2" w:rsidRDefault="00C47035" w:rsidP="008928F2">
            <w:pPr>
              <w:pStyle w:val="Table-Text"/>
            </w:pPr>
          </w:p>
        </w:tc>
        <w:tc>
          <w:tcPr>
            <w:tcW w:w="3040" w:type="dxa"/>
            <w:tcBorders>
              <w:bottom w:val="single" w:sz="4" w:space="0" w:color="auto"/>
            </w:tcBorders>
          </w:tcPr>
          <w:p w14:paraId="346459E0" w14:textId="77777777" w:rsidR="00354E43" w:rsidRPr="008928F2" w:rsidRDefault="00354E43" w:rsidP="008928F2">
            <w:pPr>
              <w:pStyle w:val="Table-Text"/>
            </w:pPr>
            <w:r w:rsidRPr="008928F2">
              <w:lastRenderedPageBreak/>
              <w:t>DCP</w:t>
            </w:r>
          </w:p>
          <w:p w14:paraId="7A6CDB45" w14:textId="77777777" w:rsidR="00C23B68" w:rsidRPr="008928F2" w:rsidRDefault="00354E43" w:rsidP="008928F2">
            <w:pPr>
              <w:pStyle w:val="Table-Text"/>
            </w:pPr>
            <w:r w:rsidRPr="008928F2">
              <w:t xml:space="preserve">SA </w:t>
            </w:r>
            <w:r w:rsidR="008E1CB9" w:rsidRPr="008928F2">
              <w:t>Health</w:t>
            </w:r>
          </w:p>
          <w:p w14:paraId="1AF6E6D5" w14:textId="41975C0D" w:rsidR="00C6641E" w:rsidRPr="008928F2" w:rsidRDefault="6246FE7C" w:rsidP="008928F2">
            <w:pPr>
              <w:pStyle w:val="Table-Text"/>
            </w:pPr>
            <w:r w:rsidRPr="008928F2">
              <w:t>Education</w:t>
            </w:r>
          </w:p>
          <w:p w14:paraId="66B323BB" w14:textId="77777777" w:rsidR="00C47035" w:rsidRPr="008928F2" w:rsidRDefault="00C47035" w:rsidP="008928F2">
            <w:pPr>
              <w:pStyle w:val="Table-Text"/>
            </w:pPr>
          </w:p>
          <w:p w14:paraId="2FCC0341" w14:textId="2BEC6CA8" w:rsidR="00C6641E" w:rsidRPr="008928F2" w:rsidRDefault="2217E8E6" w:rsidP="008928F2">
            <w:pPr>
              <w:pStyle w:val="Table-Text"/>
            </w:pPr>
            <w:r w:rsidRPr="008928F2">
              <w:lastRenderedPageBreak/>
              <w:t>Commissioner for Victim’s Rights</w:t>
            </w:r>
          </w:p>
        </w:tc>
        <w:tc>
          <w:tcPr>
            <w:tcW w:w="884" w:type="dxa"/>
            <w:tcBorders>
              <w:bottom w:val="single" w:sz="4" w:space="0" w:color="auto"/>
            </w:tcBorders>
          </w:tcPr>
          <w:p w14:paraId="7C6220F2" w14:textId="5F9F3F70" w:rsidR="00C23B68" w:rsidRPr="008928F2" w:rsidRDefault="008D2B49" w:rsidP="008928F2">
            <w:pPr>
              <w:pStyle w:val="Table-Text"/>
            </w:pPr>
            <w:r w:rsidRPr="008928F2">
              <w:lastRenderedPageBreak/>
              <w:t>DHS</w:t>
            </w:r>
          </w:p>
        </w:tc>
        <w:tc>
          <w:tcPr>
            <w:tcW w:w="2126" w:type="dxa"/>
            <w:tcBorders>
              <w:bottom w:val="single" w:sz="4" w:space="0" w:color="auto"/>
            </w:tcBorders>
          </w:tcPr>
          <w:p w14:paraId="12C9761F" w14:textId="0DDD28CC" w:rsidR="00C23B68" w:rsidRPr="008928F2" w:rsidRDefault="00815201" w:rsidP="008928F2">
            <w:pPr>
              <w:pStyle w:val="Table-Text"/>
            </w:pPr>
            <w:r w:rsidRPr="008928F2">
              <w:t xml:space="preserve">31 </w:t>
            </w:r>
            <w:r w:rsidR="00DD61BA" w:rsidRPr="008928F2">
              <w:t>December</w:t>
            </w:r>
            <w:r w:rsidR="002C5181" w:rsidRPr="008928F2">
              <w:t xml:space="preserve"> 2022</w:t>
            </w:r>
          </w:p>
        </w:tc>
        <w:tc>
          <w:tcPr>
            <w:tcW w:w="2994" w:type="dxa"/>
            <w:tcBorders>
              <w:bottom w:val="single" w:sz="4" w:space="0" w:color="auto"/>
            </w:tcBorders>
          </w:tcPr>
          <w:p w14:paraId="0360D436" w14:textId="5128031B" w:rsidR="00C23B68" w:rsidRPr="008928F2" w:rsidRDefault="002C5181" w:rsidP="008928F2">
            <w:pPr>
              <w:pStyle w:val="Table-Text"/>
            </w:pPr>
            <w:r w:rsidRPr="008928F2">
              <w:t>Strategy, Policy and Operational</w:t>
            </w:r>
          </w:p>
        </w:tc>
      </w:tr>
      <w:tr w:rsidR="00EC74A8" w:rsidRPr="008928F2" w14:paraId="51D7AC58" w14:textId="5C4DBCED" w:rsidTr="00A021D2">
        <w:tc>
          <w:tcPr>
            <w:tcW w:w="709" w:type="dxa"/>
            <w:tcBorders>
              <w:top w:val="single" w:sz="4" w:space="0" w:color="auto"/>
            </w:tcBorders>
          </w:tcPr>
          <w:p w14:paraId="4BD0111B" w14:textId="4DB043E5" w:rsidR="00EC74A8" w:rsidRPr="008928F2" w:rsidRDefault="003E1773" w:rsidP="008928F2">
            <w:pPr>
              <w:pStyle w:val="Table-Text"/>
            </w:pPr>
            <w:r w:rsidRPr="008928F2">
              <w:t xml:space="preserve">1.5 </w:t>
            </w:r>
          </w:p>
        </w:tc>
        <w:tc>
          <w:tcPr>
            <w:tcW w:w="4156" w:type="dxa"/>
            <w:tcBorders>
              <w:top w:val="single" w:sz="4" w:space="0" w:color="auto"/>
            </w:tcBorders>
          </w:tcPr>
          <w:p w14:paraId="12518124" w14:textId="01A7DEB6" w:rsidR="00EC74A8" w:rsidRPr="008928F2" w:rsidRDefault="008722CC" w:rsidP="008928F2">
            <w:pPr>
              <w:pStyle w:val="Table-Text"/>
            </w:pPr>
            <w:r w:rsidRPr="008928F2">
              <w:t>F</w:t>
            </w:r>
            <w:r w:rsidR="00104E62" w:rsidRPr="008928F2">
              <w:t>ormalise</w:t>
            </w:r>
            <w:r w:rsidR="0057117B" w:rsidRPr="008928F2">
              <w:t>, resource, monitor and review connections with existing family-focused programs and services</w:t>
            </w:r>
          </w:p>
        </w:tc>
        <w:tc>
          <w:tcPr>
            <w:tcW w:w="3040" w:type="dxa"/>
            <w:tcBorders>
              <w:top w:val="single" w:sz="4" w:space="0" w:color="auto"/>
            </w:tcBorders>
          </w:tcPr>
          <w:p w14:paraId="59486A0F" w14:textId="77777777" w:rsidR="003E62EE" w:rsidRPr="008928F2" w:rsidRDefault="003E62EE" w:rsidP="008928F2">
            <w:pPr>
              <w:pStyle w:val="Table-Text"/>
            </w:pPr>
            <w:r w:rsidRPr="008928F2">
              <w:t>DCP</w:t>
            </w:r>
          </w:p>
          <w:p w14:paraId="0CCF44E2" w14:textId="77777777" w:rsidR="003E62EE" w:rsidRPr="008928F2" w:rsidRDefault="003E62EE" w:rsidP="008928F2">
            <w:pPr>
              <w:pStyle w:val="Table-Text"/>
            </w:pPr>
            <w:r w:rsidRPr="008928F2">
              <w:t xml:space="preserve">SA </w:t>
            </w:r>
            <w:r w:rsidR="00104E62" w:rsidRPr="008928F2">
              <w:t>Health</w:t>
            </w:r>
          </w:p>
          <w:p w14:paraId="7EB86C06" w14:textId="384010BF" w:rsidR="00EC74A8" w:rsidRPr="008928F2" w:rsidRDefault="00104E62" w:rsidP="008928F2">
            <w:pPr>
              <w:pStyle w:val="Table-Text"/>
            </w:pPr>
            <w:r w:rsidRPr="008928F2">
              <w:t>Education</w:t>
            </w:r>
          </w:p>
        </w:tc>
        <w:tc>
          <w:tcPr>
            <w:tcW w:w="884" w:type="dxa"/>
            <w:tcBorders>
              <w:top w:val="single" w:sz="4" w:space="0" w:color="auto"/>
            </w:tcBorders>
          </w:tcPr>
          <w:p w14:paraId="6E625EB0" w14:textId="489C33B9" w:rsidR="00EC74A8" w:rsidRPr="008928F2" w:rsidRDefault="008F0F9D" w:rsidP="008928F2">
            <w:pPr>
              <w:pStyle w:val="Table-Text"/>
            </w:pPr>
            <w:r w:rsidRPr="008928F2">
              <w:t>DHS</w:t>
            </w:r>
          </w:p>
        </w:tc>
        <w:tc>
          <w:tcPr>
            <w:tcW w:w="2126" w:type="dxa"/>
            <w:tcBorders>
              <w:top w:val="single" w:sz="4" w:space="0" w:color="auto"/>
            </w:tcBorders>
          </w:tcPr>
          <w:p w14:paraId="7A2F91F9" w14:textId="12754F6C" w:rsidR="00EC74A8" w:rsidRPr="008928F2" w:rsidRDefault="00815201" w:rsidP="008928F2">
            <w:pPr>
              <w:pStyle w:val="Table-Text"/>
            </w:pPr>
            <w:r w:rsidRPr="008928F2">
              <w:t xml:space="preserve">31 </w:t>
            </w:r>
            <w:r w:rsidR="008F0F9D" w:rsidRPr="008928F2">
              <w:t>December</w:t>
            </w:r>
            <w:r w:rsidR="00104E62" w:rsidRPr="008928F2">
              <w:t xml:space="preserve"> 2022</w:t>
            </w:r>
          </w:p>
        </w:tc>
        <w:tc>
          <w:tcPr>
            <w:tcW w:w="2994" w:type="dxa"/>
            <w:tcBorders>
              <w:top w:val="single" w:sz="4" w:space="0" w:color="auto"/>
            </w:tcBorders>
          </w:tcPr>
          <w:p w14:paraId="2D55BBC5" w14:textId="56CA8559" w:rsidR="00EC74A8" w:rsidRPr="008928F2" w:rsidRDefault="00104E62" w:rsidP="008928F2">
            <w:pPr>
              <w:pStyle w:val="Table-Text"/>
            </w:pPr>
            <w:r w:rsidRPr="008928F2">
              <w:t>Strategy, Policy and Operational</w:t>
            </w:r>
          </w:p>
        </w:tc>
      </w:tr>
    </w:tbl>
    <w:p w14:paraId="727A9CAE" w14:textId="0465C7C5" w:rsidR="00635705" w:rsidRDefault="00635705" w:rsidP="00D82F62"/>
    <w:p w14:paraId="4FAD8E02" w14:textId="7D8D6CC0" w:rsidR="00635705" w:rsidRPr="00635705" w:rsidRDefault="00635705" w:rsidP="004E784C">
      <w:pPr>
        <w:pStyle w:val="Heading3"/>
      </w:pPr>
      <w:r w:rsidRPr="00635705">
        <w:t>2. Workforce stability and investment – We equip our people to understand and support young people, their needs, networks and culture.</w:t>
      </w:r>
    </w:p>
    <w:tbl>
      <w:tblPr>
        <w:tblW w:w="14193" w:type="dxa"/>
        <w:tblLayout w:type="fixed"/>
        <w:tblLook w:val="04A0" w:firstRow="1" w:lastRow="0" w:firstColumn="1" w:lastColumn="0" w:noHBand="0" w:noVBand="1"/>
      </w:tblPr>
      <w:tblGrid>
        <w:gridCol w:w="724"/>
        <w:gridCol w:w="4241"/>
        <w:gridCol w:w="3102"/>
        <w:gridCol w:w="902"/>
        <w:gridCol w:w="2169"/>
        <w:gridCol w:w="3055"/>
      </w:tblGrid>
      <w:tr w:rsidR="00635705" w:rsidRPr="008928F2" w14:paraId="6BF215EE" w14:textId="77777777" w:rsidTr="00A021D2">
        <w:trPr>
          <w:tblHeader/>
        </w:trPr>
        <w:tc>
          <w:tcPr>
            <w:tcW w:w="709" w:type="dxa"/>
            <w:tcBorders>
              <w:bottom w:val="single" w:sz="4" w:space="0" w:color="auto"/>
            </w:tcBorders>
            <w:shd w:val="clear" w:color="auto" w:fill="F2F2F2" w:themeFill="background1" w:themeFillShade="F2"/>
          </w:tcPr>
          <w:p w14:paraId="4FD9CB0A" w14:textId="34D9ADF7" w:rsidR="00635705" w:rsidRPr="008928F2" w:rsidRDefault="00635705" w:rsidP="008928F2">
            <w:pPr>
              <w:pStyle w:val="Table-Header"/>
            </w:pPr>
            <w:r w:rsidRPr="008928F2">
              <w:t>#</w:t>
            </w:r>
          </w:p>
        </w:tc>
        <w:tc>
          <w:tcPr>
            <w:tcW w:w="4156" w:type="dxa"/>
            <w:tcBorders>
              <w:bottom w:val="single" w:sz="4" w:space="0" w:color="auto"/>
            </w:tcBorders>
            <w:shd w:val="clear" w:color="auto" w:fill="F2F2F2" w:themeFill="background1" w:themeFillShade="F2"/>
          </w:tcPr>
          <w:p w14:paraId="714F1FD0" w14:textId="59EA728C" w:rsidR="00635705" w:rsidRPr="008928F2" w:rsidRDefault="00635705" w:rsidP="008928F2">
            <w:pPr>
              <w:pStyle w:val="Table-Header"/>
            </w:pPr>
            <w:r w:rsidRPr="008928F2">
              <w:t>Project</w:t>
            </w:r>
          </w:p>
        </w:tc>
        <w:tc>
          <w:tcPr>
            <w:tcW w:w="3040" w:type="dxa"/>
            <w:tcBorders>
              <w:bottom w:val="single" w:sz="4" w:space="0" w:color="auto"/>
            </w:tcBorders>
            <w:shd w:val="clear" w:color="auto" w:fill="F2F2F2" w:themeFill="background1" w:themeFillShade="F2"/>
          </w:tcPr>
          <w:p w14:paraId="03845EF5" w14:textId="6EA6577E" w:rsidR="00635705" w:rsidRPr="008928F2" w:rsidRDefault="00635705" w:rsidP="008928F2">
            <w:pPr>
              <w:pStyle w:val="Table-Header"/>
            </w:pPr>
            <w:r w:rsidRPr="008928F2">
              <w:t>Partners</w:t>
            </w:r>
          </w:p>
        </w:tc>
        <w:tc>
          <w:tcPr>
            <w:tcW w:w="884" w:type="dxa"/>
            <w:tcBorders>
              <w:bottom w:val="single" w:sz="4" w:space="0" w:color="auto"/>
            </w:tcBorders>
            <w:shd w:val="clear" w:color="auto" w:fill="F2F2F2" w:themeFill="background1" w:themeFillShade="F2"/>
          </w:tcPr>
          <w:p w14:paraId="083BA22B" w14:textId="3675A0AC" w:rsidR="00635705" w:rsidRPr="008928F2" w:rsidRDefault="00635705" w:rsidP="008928F2">
            <w:pPr>
              <w:pStyle w:val="Table-Header"/>
            </w:pPr>
            <w:r w:rsidRPr="008928F2">
              <w:t>Lead</w:t>
            </w:r>
          </w:p>
        </w:tc>
        <w:tc>
          <w:tcPr>
            <w:tcW w:w="2126" w:type="dxa"/>
            <w:tcBorders>
              <w:bottom w:val="single" w:sz="4" w:space="0" w:color="auto"/>
            </w:tcBorders>
            <w:shd w:val="clear" w:color="auto" w:fill="F2F2F2" w:themeFill="background1" w:themeFillShade="F2"/>
          </w:tcPr>
          <w:p w14:paraId="72C8F1D5" w14:textId="7C3E6BFE" w:rsidR="00635705" w:rsidRPr="008928F2" w:rsidRDefault="00635705" w:rsidP="008928F2">
            <w:pPr>
              <w:pStyle w:val="Table-Header"/>
            </w:pPr>
            <w:r w:rsidRPr="008928F2">
              <w:t>Timeframe</w:t>
            </w:r>
          </w:p>
        </w:tc>
        <w:tc>
          <w:tcPr>
            <w:tcW w:w="2994" w:type="dxa"/>
            <w:tcBorders>
              <w:bottom w:val="single" w:sz="4" w:space="0" w:color="auto"/>
            </w:tcBorders>
            <w:shd w:val="clear" w:color="auto" w:fill="F2F2F2" w:themeFill="background1" w:themeFillShade="F2"/>
          </w:tcPr>
          <w:p w14:paraId="21F26AA6" w14:textId="2944455D" w:rsidR="00635705" w:rsidRPr="008928F2" w:rsidRDefault="00635705" w:rsidP="008928F2">
            <w:pPr>
              <w:pStyle w:val="Table-Header"/>
            </w:pPr>
            <w:r w:rsidRPr="008928F2">
              <w:t>Strategy / Policy / Operational</w:t>
            </w:r>
          </w:p>
        </w:tc>
      </w:tr>
      <w:tr w:rsidR="00170B8B" w:rsidRPr="008928F2" w14:paraId="7CFBB604" w14:textId="77777777" w:rsidTr="00A021D2">
        <w:tc>
          <w:tcPr>
            <w:tcW w:w="709" w:type="dxa"/>
            <w:tcBorders>
              <w:bottom w:val="single" w:sz="4" w:space="0" w:color="auto"/>
            </w:tcBorders>
          </w:tcPr>
          <w:p w14:paraId="3657E25D" w14:textId="2A67703E" w:rsidR="00170B8B" w:rsidRPr="008928F2" w:rsidRDefault="005C1AB9" w:rsidP="008928F2">
            <w:pPr>
              <w:pStyle w:val="Table-Text"/>
            </w:pPr>
            <w:r w:rsidRPr="008928F2">
              <w:t>2.1</w:t>
            </w:r>
          </w:p>
        </w:tc>
        <w:tc>
          <w:tcPr>
            <w:tcW w:w="4156" w:type="dxa"/>
            <w:tcBorders>
              <w:bottom w:val="single" w:sz="4" w:space="0" w:color="auto"/>
            </w:tcBorders>
          </w:tcPr>
          <w:p w14:paraId="6493E3C6" w14:textId="027B61C5" w:rsidR="00170B8B" w:rsidRPr="008928F2" w:rsidRDefault="020FB7CF" w:rsidP="008928F2">
            <w:pPr>
              <w:pStyle w:val="Table-Text"/>
            </w:pPr>
            <w:r w:rsidRPr="008928F2">
              <w:t>Implement a new staffing structure, with clearer areas of responsibility and governance for Youth Justice</w:t>
            </w:r>
          </w:p>
        </w:tc>
        <w:tc>
          <w:tcPr>
            <w:tcW w:w="3040" w:type="dxa"/>
            <w:tcBorders>
              <w:bottom w:val="single" w:sz="4" w:space="0" w:color="auto"/>
            </w:tcBorders>
          </w:tcPr>
          <w:p w14:paraId="1896028A" w14:textId="58F3FC5D" w:rsidR="00170B8B" w:rsidRPr="008928F2" w:rsidRDefault="00A021D2" w:rsidP="008928F2">
            <w:pPr>
              <w:pStyle w:val="Table-Text"/>
            </w:pPr>
            <w:r>
              <w:t>None</w:t>
            </w:r>
          </w:p>
        </w:tc>
        <w:tc>
          <w:tcPr>
            <w:tcW w:w="884" w:type="dxa"/>
            <w:tcBorders>
              <w:bottom w:val="single" w:sz="4" w:space="0" w:color="auto"/>
            </w:tcBorders>
          </w:tcPr>
          <w:p w14:paraId="4DEC3948" w14:textId="466ADC4A" w:rsidR="00170B8B" w:rsidRPr="008928F2" w:rsidRDefault="00F542B4" w:rsidP="008928F2">
            <w:pPr>
              <w:pStyle w:val="Table-Text"/>
            </w:pPr>
            <w:r w:rsidRPr="008928F2">
              <w:t>DHS</w:t>
            </w:r>
          </w:p>
        </w:tc>
        <w:tc>
          <w:tcPr>
            <w:tcW w:w="2126" w:type="dxa"/>
            <w:tcBorders>
              <w:bottom w:val="single" w:sz="4" w:space="0" w:color="auto"/>
            </w:tcBorders>
          </w:tcPr>
          <w:p w14:paraId="7A5E4E21" w14:textId="6F2B8345" w:rsidR="00170B8B" w:rsidRPr="008928F2" w:rsidRDefault="00F542B4" w:rsidP="008928F2">
            <w:pPr>
              <w:pStyle w:val="Table-Text"/>
            </w:pPr>
            <w:r w:rsidRPr="008928F2">
              <w:t>30 June</w:t>
            </w:r>
            <w:r w:rsidR="00C94750" w:rsidRPr="008928F2">
              <w:t xml:space="preserve"> 2020</w:t>
            </w:r>
          </w:p>
        </w:tc>
        <w:tc>
          <w:tcPr>
            <w:tcW w:w="2994" w:type="dxa"/>
            <w:tcBorders>
              <w:bottom w:val="single" w:sz="4" w:space="0" w:color="auto"/>
            </w:tcBorders>
          </w:tcPr>
          <w:p w14:paraId="0EE83310" w14:textId="51B3076F" w:rsidR="00170B8B" w:rsidRPr="008928F2" w:rsidRDefault="00C94750" w:rsidP="008928F2">
            <w:pPr>
              <w:pStyle w:val="Table-Text"/>
            </w:pPr>
            <w:r w:rsidRPr="008928F2">
              <w:t>Strategy</w:t>
            </w:r>
          </w:p>
        </w:tc>
      </w:tr>
      <w:tr w:rsidR="00170B8B" w:rsidRPr="008928F2" w14:paraId="5BA72E8B" w14:textId="77777777" w:rsidTr="00A021D2">
        <w:tc>
          <w:tcPr>
            <w:tcW w:w="709" w:type="dxa"/>
            <w:tcBorders>
              <w:top w:val="single" w:sz="4" w:space="0" w:color="auto"/>
              <w:bottom w:val="single" w:sz="4" w:space="0" w:color="auto"/>
            </w:tcBorders>
          </w:tcPr>
          <w:p w14:paraId="21BBC2FB" w14:textId="69A57B04" w:rsidR="00170B8B" w:rsidRPr="008928F2" w:rsidRDefault="00D6790F" w:rsidP="008928F2">
            <w:pPr>
              <w:pStyle w:val="Table-Text"/>
            </w:pPr>
            <w:r w:rsidRPr="008928F2">
              <w:t xml:space="preserve">2.2 </w:t>
            </w:r>
          </w:p>
        </w:tc>
        <w:tc>
          <w:tcPr>
            <w:tcW w:w="4156" w:type="dxa"/>
            <w:tcBorders>
              <w:top w:val="single" w:sz="4" w:space="0" w:color="auto"/>
              <w:bottom w:val="single" w:sz="4" w:space="0" w:color="auto"/>
            </w:tcBorders>
          </w:tcPr>
          <w:p w14:paraId="3B33E0EA" w14:textId="5DCDD152" w:rsidR="00170B8B" w:rsidRPr="008928F2" w:rsidRDefault="00F97329" w:rsidP="008928F2">
            <w:pPr>
              <w:pStyle w:val="Table-Text"/>
            </w:pPr>
            <w:r w:rsidRPr="008928F2">
              <w:t>Increase recruitment</w:t>
            </w:r>
            <w:r w:rsidR="00EC2A2D" w:rsidRPr="008928F2">
              <w:t xml:space="preserve"> and </w:t>
            </w:r>
            <w:r w:rsidRPr="008928F2">
              <w:t>retention</w:t>
            </w:r>
            <w:r w:rsidR="00E5171E" w:rsidRPr="008928F2">
              <w:t xml:space="preserve"> </w:t>
            </w:r>
            <w:r w:rsidRPr="008928F2">
              <w:t xml:space="preserve">of Aboriginal staff </w:t>
            </w:r>
          </w:p>
        </w:tc>
        <w:tc>
          <w:tcPr>
            <w:tcW w:w="3040" w:type="dxa"/>
            <w:tcBorders>
              <w:top w:val="single" w:sz="4" w:space="0" w:color="auto"/>
              <w:bottom w:val="single" w:sz="4" w:space="0" w:color="auto"/>
            </w:tcBorders>
          </w:tcPr>
          <w:p w14:paraId="504840A8" w14:textId="3C06D6A8" w:rsidR="00170B8B" w:rsidRPr="008928F2" w:rsidRDefault="25A70400" w:rsidP="008928F2">
            <w:pPr>
              <w:pStyle w:val="Table-Text"/>
            </w:pPr>
            <w:r w:rsidRPr="008928F2">
              <w:t>DPC- AAR</w:t>
            </w:r>
          </w:p>
        </w:tc>
        <w:tc>
          <w:tcPr>
            <w:tcW w:w="884" w:type="dxa"/>
            <w:tcBorders>
              <w:top w:val="single" w:sz="4" w:space="0" w:color="auto"/>
              <w:bottom w:val="single" w:sz="4" w:space="0" w:color="auto"/>
            </w:tcBorders>
          </w:tcPr>
          <w:p w14:paraId="7EE54A17" w14:textId="30E87568" w:rsidR="00170B8B" w:rsidRPr="008928F2" w:rsidRDefault="00F542B4" w:rsidP="008928F2">
            <w:pPr>
              <w:pStyle w:val="Table-Text"/>
            </w:pPr>
            <w:r w:rsidRPr="008928F2">
              <w:t>DHS</w:t>
            </w:r>
          </w:p>
        </w:tc>
        <w:tc>
          <w:tcPr>
            <w:tcW w:w="2126" w:type="dxa"/>
            <w:tcBorders>
              <w:top w:val="single" w:sz="4" w:space="0" w:color="auto"/>
              <w:bottom w:val="single" w:sz="4" w:space="0" w:color="auto"/>
            </w:tcBorders>
          </w:tcPr>
          <w:p w14:paraId="3D58451F" w14:textId="24041183" w:rsidR="00170B8B" w:rsidRPr="008928F2" w:rsidRDefault="00815201" w:rsidP="008928F2">
            <w:pPr>
              <w:pStyle w:val="Table-Text"/>
            </w:pPr>
            <w:r w:rsidRPr="008928F2">
              <w:t xml:space="preserve">31 </w:t>
            </w:r>
            <w:r w:rsidR="00681149" w:rsidRPr="008928F2">
              <w:t>December 2023</w:t>
            </w:r>
          </w:p>
        </w:tc>
        <w:tc>
          <w:tcPr>
            <w:tcW w:w="2994" w:type="dxa"/>
            <w:tcBorders>
              <w:top w:val="single" w:sz="4" w:space="0" w:color="auto"/>
              <w:bottom w:val="single" w:sz="4" w:space="0" w:color="auto"/>
            </w:tcBorders>
          </w:tcPr>
          <w:p w14:paraId="7E609E55" w14:textId="1BB29662" w:rsidR="00170B8B" w:rsidRPr="008928F2" w:rsidRDefault="00E04852" w:rsidP="008928F2">
            <w:pPr>
              <w:pStyle w:val="Table-Text"/>
            </w:pPr>
            <w:r w:rsidRPr="008928F2">
              <w:t>Strategy</w:t>
            </w:r>
          </w:p>
        </w:tc>
      </w:tr>
      <w:tr w:rsidR="00170B8B" w:rsidRPr="008928F2" w14:paraId="082206D7" w14:textId="77777777" w:rsidTr="00A021D2">
        <w:tc>
          <w:tcPr>
            <w:tcW w:w="709" w:type="dxa"/>
            <w:tcBorders>
              <w:top w:val="single" w:sz="4" w:space="0" w:color="auto"/>
              <w:bottom w:val="single" w:sz="4" w:space="0" w:color="auto"/>
            </w:tcBorders>
          </w:tcPr>
          <w:p w14:paraId="4CA74068" w14:textId="1FE2DD74" w:rsidR="00170B8B" w:rsidRPr="008928F2" w:rsidRDefault="00286927" w:rsidP="008928F2">
            <w:pPr>
              <w:pStyle w:val="Table-Text"/>
            </w:pPr>
            <w:r w:rsidRPr="008928F2">
              <w:t>2.</w:t>
            </w:r>
            <w:r w:rsidR="00C41C2C" w:rsidRPr="008928F2">
              <w:fldChar w:fldCharType="begin"/>
            </w:r>
            <w:r w:rsidR="00C41C2C" w:rsidRPr="008928F2">
              <w:instrText xml:space="preserve"> =MAX(Above)+1 </w:instrText>
            </w:r>
            <w:r w:rsidR="00C41C2C" w:rsidRPr="008928F2">
              <w:fldChar w:fldCharType="separate"/>
            </w:r>
            <w:r w:rsidR="00333587" w:rsidRPr="008928F2">
              <w:t>3</w:t>
            </w:r>
            <w:r w:rsidR="00C41C2C" w:rsidRPr="008928F2">
              <w:fldChar w:fldCharType="end"/>
            </w:r>
          </w:p>
        </w:tc>
        <w:tc>
          <w:tcPr>
            <w:tcW w:w="4156" w:type="dxa"/>
            <w:tcBorders>
              <w:top w:val="single" w:sz="4" w:space="0" w:color="auto"/>
              <w:bottom w:val="single" w:sz="4" w:space="0" w:color="auto"/>
            </w:tcBorders>
          </w:tcPr>
          <w:p w14:paraId="475EA581" w14:textId="3C46E9A5" w:rsidR="00170B8B" w:rsidRPr="008928F2" w:rsidRDefault="26CC4CA2" w:rsidP="008928F2">
            <w:pPr>
              <w:pStyle w:val="Table-Text"/>
            </w:pPr>
            <w:r w:rsidRPr="008928F2">
              <w:t>I</w:t>
            </w:r>
            <w:r w:rsidR="51CC34E3" w:rsidRPr="008928F2">
              <w:t>dentify opportunities for improving information sharing, learning and development and staff engagement</w:t>
            </w:r>
          </w:p>
        </w:tc>
        <w:tc>
          <w:tcPr>
            <w:tcW w:w="3040" w:type="dxa"/>
            <w:tcBorders>
              <w:top w:val="single" w:sz="4" w:space="0" w:color="auto"/>
              <w:bottom w:val="single" w:sz="4" w:space="0" w:color="auto"/>
            </w:tcBorders>
          </w:tcPr>
          <w:p w14:paraId="150029E5" w14:textId="679DE8A0" w:rsidR="00170B8B" w:rsidRPr="008928F2" w:rsidRDefault="00A021D2" w:rsidP="008928F2">
            <w:pPr>
              <w:pStyle w:val="Table-Text"/>
            </w:pPr>
            <w:r>
              <w:t>None</w:t>
            </w:r>
          </w:p>
        </w:tc>
        <w:tc>
          <w:tcPr>
            <w:tcW w:w="884" w:type="dxa"/>
            <w:tcBorders>
              <w:top w:val="single" w:sz="4" w:space="0" w:color="auto"/>
              <w:bottom w:val="single" w:sz="4" w:space="0" w:color="auto"/>
            </w:tcBorders>
          </w:tcPr>
          <w:p w14:paraId="4253FC79" w14:textId="2E9F5247" w:rsidR="00170B8B" w:rsidRPr="008928F2" w:rsidRDefault="00F542B4" w:rsidP="008928F2">
            <w:pPr>
              <w:pStyle w:val="Table-Text"/>
            </w:pPr>
            <w:r w:rsidRPr="008928F2">
              <w:t>DHS</w:t>
            </w:r>
          </w:p>
        </w:tc>
        <w:tc>
          <w:tcPr>
            <w:tcW w:w="2126" w:type="dxa"/>
            <w:tcBorders>
              <w:top w:val="single" w:sz="4" w:space="0" w:color="auto"/>
              <w:bottom w:val="single" w:sz="4" w:space="0" w:color="auto"/>
            </w:tcBorders>
          </w:tcPr>
          <w:p w14:paraId="2B099655" w14:textId="09BBF106" w:rsidR="00170B8B" w:rsidRPr="008928F2" w:rsidRDefault="00815201" w:rsidP="008928F2">
            <w:pPr>
              <w:pStyle w:val="Table-Text"/>
            </w:pPr>
            <w:r w:rsidRPr="008928F2">
              <w:t>30 June</w:t>
            </w:r>
            <w:r w:rsidR="00847281" w:rsidRPr="008928F2">
              <w:t xml:space="preserve"> 2020</w:t>
            </w:r>
          </w:p>
        </w:tc>
        <w:tc>
          <w:tcPr>
            <w:tcW w:w="2994" w:type="dxa"/>
            <w:tcBorders>
              <w:top w:val="single" w:sz="4" w:space="0" w:color="auto"/>
              <w:bottom w:val="single" w:sz="4" w:space="0" w:color="auto"/>
            </w:tcBorders>
          </w:tcPr>
          <w:p w14:paraId="29D915B2" w14:textId="74AEBF55" w:rsidR="00170B8B" w:rsidRPr="008928F2" w:rsidRDefault="2F3E6FE6" w:rsidP="008928F2">
            <w:pPr>
              <w:pStyle w:val="Table-Text"/>
            </w:pPr>
            <w:r w:rsidRPr="008928F2">
              <w:t xml:space="preserve">Strategy and </w:t>
            </w:r>
            <w:r w:rsidR="2E60F124" w:rsidRPr="008928F2">
              <w:t>Operational</w:t>
            </w:r>
          </w:p>
        </w:tc>
      </w:tr>
      <w:tr w:rsidR="00170B8B" w:rsidRPr="008928F2" w14:paraId="7043A301" w14:textId="77777777" w:rsidTr="00A021D2">
        <w:tc>
          <w:tcPr>
            <w:tcW w:w="709" w:type="dxa"/>
            <w:tcBorders>
              <w:top w:val="single" w:sz="4" w:space="0" w:color="auto"/>
              <w:bottom w:val="single" w:sz="4" w:space="0" w:color="auto"/>
            </w:tcBorders>
          </w:tcPr>
          <w:p w14:paraId="68DFFE06" w14:textId="2A689F99" w:rsidR="00170B8B" w:rsidRPr="008928F2" w:rsidRDefault="00286927" w:rsidP="008928F2">
            <w:pPr>
              <w:pStyle w:val="Table-Text"/>
            </w:pPr>
            <w:r w:rsidRPr="008928F2">
              <w:lastRenderedPageBreak/>
              <w:t>2.</w:t>
            </w:r>
            <w:r w:rsidR="00C41C2C" w:rsidRPr="008928F2">
              <w:fldChar w:fldCharType="begin"/>
            </w:r>
            <w:r w:rsidR="00C41C2C" w:rsidRPr="008928F2">
              <w:instrText xml:space="preserve"> =MAX(Above)+1 </w:instrText>
            </w:r>
            <w:r w:rsidR="00C41C2C" w:rsidRPr="008928F2">
              <w:fldChar w:fldCharType="separate"/>
            </w:r>
            <w:r w:rsidR="00333587" w:rsidRPr="008928F2">
              <w:t>4</w:t>
            </w:r>
            <w:r w:rsidR="00C41C2C" w:rsidRPr="008928F2">
              <w:fldChar w:fldCharType="end"/>
            </w:r>
          </w:p>
        </w:tc>
        <w:tc>
          <w:tcPr>
            <w:tcW w:w="4156" w:type="dxa"/>
            <w:tcBorders>
              <w:top w:val="single" w:sz="4" w:space="0" w:color="auto"/>
              <w:bottom w:val="single" w:sz="4" w:space="0" w:color="auto"/>
            </w:tcBorders>
          </w:tcPr>
          <w:p w14:paraId="74211F91" w14:textId="10973F5B" w:rsidR="00170B8B" w:rsidRPr="008928F2" w:rsidRDefault="51CC34E3" w:rsidP="008928F2">
            <w:pPr>
              <w:pStyle w:val="Table-Text"/>
            </w:pPr>
            <w:r w:rsidRPr="008928F2">
              <w:t xml:space="preserve">Implement an enhanced training agenda </w:t>
            </w:r>
          </w:p>
        </w:tc>
        <w:tc>
          <w:tcPr>
            <w:tcW w:w="3040" w:type="dxa"/>
            <w:tcBorders>
              <w:top w:val="single" w:sz="4" w:space="0" w:color="auto"/>
              <w:bottom w:val="single" w:sz="4" w:space="0" w:color="auto"/>
            </w:tcBorders>
          </w:tcPr>
          <w:p w14:paraId="458674C3" w14:textId="5E73995E" w:rsidR="003E62EE" w:rsidRPr="008928F2" w:rsidRDefault="003E62EE" w:rsidP="008928F2">
            <w:pPr>
              <w:pStyle w:val="Table-Text"/>
            </w:pPr>
            <w:r w:rsidRPr="008928F2">
              <w:t>DCP</w:t>
            </w:r>
          </w:p>
          <w:p w14:paraId="2D4FAA3C" w14:textId="77777777" w:rsidR="003E62EE" w:rsidRPr="008928F2" w:rsidRDefault="003E62EE" w:rsidP="008928F2">
            <w:pPr>
              <w:pStyle w:val="Table-Text"/>
            </w:pPr>
            <w:r w:rsidRPr="008928F2">
              <w:t xml:space="preserve">SA </w:t>
            </w:r>
            <w:r w:rsidR="000859AB" w:rsidRPr="008928F2">
              <w:t>Health</w:t>
            </w:r>
          </w:p>
          <w:p w14:paraId="35C4F364" w14:textId="1F58D0D1" w:rsidR="00170B8B" w:rsidRPr="008928F2" w:rsidRDefault="000859AB" w:rsidP="008928F2">
            <w:pPr>
              <w:pStyle w:val="Table-Text"/>
            </w:pPr>
            <w:r w:rsidRPr="008928F2">
              <w:t>Education</w:t>
            </w:r>
          </w:p>
        </w:tc>
        <w:tc>
          <w:tcPr>
            <w:tcW w:w="884" w:type="dxa"/>
            <w:tcBorders>
              <w:top w:val="single" w:sz="4" w:space="0" w:color="auto"/>
              <w:bottom w:val="single" w:sz="4" w:space="0" w:color="auto"/>
            </w:tcBorders>
          </w:tcPr>
          <w:p w14:paraId="5FBA0497" w14:textId="4BB1DE1E" w:rsidR="00170B8B" w:rsidRPr="008928F2" w:rsidRDefault="00815201" w:rsidP="008928F2">
            <w:pPr>
              <w:pStyle w:val="Table-Text"/>
            </w:pPr>
            <w:r w:rsidRPr="008928F2">
              <w:t>DHS</w:t>
            </w:r>
          </w:p>
        </w:tc>
        <w:tc>
          <w:tcPr>
            <w:tcW w:w="2126" w:type="dxa"/>
            <w:tcBorders>
              <w:top w:val="single" w:sz="4" w:space="0" w:color="auto"/>
              <w:bottom w:val="single" w:sz="4" w:space="0" w:color="auto"/>
            </w:tcBorders>
          </w:tcPr>
          <w:p w14:paraId="7E4EF6B5" w14:textId="6BFBC075" w:rsidR="00170B8B" w:rsidRPr="008928F2" w:rsidRDefault="00260C4F" w:rsidP="008928F2">
            <w:pPr>
              <w:pStyle w:val="Table-Text"/>
            </w:pPr>
            <w:r w:rsidRPr="008928F2">
              <w:t>3</w:t>
            </w:r>
            <w:r w:rsidR="002202BE" w:rsidRPr="008928F2">
              <w:t>0 June</w:t>
            </w:r>
            <w:r w:rsidRPr="008928F2">
              <w:t xml:space="preserve"> 202</w:t>
            </w:r>
            <w:r w:rsidR="002202BE" w:rsidRPr="008928F2">
              <w:t>1</w:t>
            </w:r>
          </w:p>
        </w:tc>
        <w:tc>
          <w:tcPr>
            <w:tcW w:w="2994" w:type="dxa"/>
            <w:tcBorders>
              <w:top w:val="single" w:sz="4" w:space="0" w:color="auto"/>
              <w:bottom w:val="single" w:sz="4" w:space="0" w:color="auto"/>
            </w:tcBorders>
          </w:tcPr>
          <w:p w14:paraId="365B8680" w14:textId="2FB0FDA5" w:rsidR="00170B8B" w:rsidRPr="008928F2" w:rsidRDefault="00486FC2" w:rsidP="008928F2">
            <w:pPr>
              <w:pStyle w:val="Table-Text"/>
            </w:pPr>
            <w:r w:rsidRPr="008928F2">
              <w:t>Strategy, Policy and Operational</w:t>
            </w:r>
          </w:p>
        </w:tc>
      </w:tr>
      <w:tr w:rsidR="00170B8B" w:rsidRPr="008928F2" w14:paraId="2023BC4A" w14:textId="77777777" w:rsidTr="00A021D2">
        <w:tc>
          <w:tcPr>
            <w:tcW w:w="709" w:type="dxa"/>
            <w:tcBorders>
              <w:top w:val="single" w:sz="4" w:space="0" w:color="auto"/>
              <w:bottom w:val="single" w:sz="4" w:space="0" w:color="auto"/>
            </w:tcBorders>
          </w:tcPr>
          <w:p w14:paraId="5BF76315" w14:textId="13DBE8D1" w:rsidR="00170B8B" w:rsidRPr="008928F2" w:rsidRDefault="00286927" w:rsidP="008928F2">
            <w:pPr>
              <w:pStyle w:val="Table-Text"/>
            </w:pPr>
            <w:r w:rsidRPr="008928F2">
              <w:t>2.</w:t>
            </w:r>
            <w:r w:rsidR="00C41C2C" w:rsidRPr="008928F2">
              <w:fldChar w:fldCharType="begin"/>
            </w:r>
            <w:r w:rsidR="00C41C2C" w:rsidRPr="008928F2">
              <w:instrText xml:space="preserve"> =MAX(Above)+1 </w:instrText>
            </w:r>
            <w:r w:rsidR="00C41C2C" w:rsidRPr="008928F2">
              <w:fldChar w:fldCharType="separate"/>
            </w:r>
            <w:r w:rsidR="00333587" w:rsidRPr="008928F2">
              <w:t>5</w:t>
            </w:r>
            <w:r w:rsidR="00C41C2C" w:rsidRPr="008928F2">
              <w:fldChar w:fldCharType="end"/>
            </w:r>
          </w:p>
        </w:tc>
        <w:tc>
          <w:tcPr>
            <w:tcW w:w="4156" w:type="dxa"/>
            <w:tcBorders>
              <w:top w:val="single" w:sz="4" w:space="0" w:color="auto"/>
              <w:bottom w:val="single" w:sz="4" w:space="0" w:color="auto"/>
            </w:tcBorders>
          </w:tcPr>
          <w:p w14:paraId="3CA0F652" w14:textId="432CBDC4" w:rsidR="00170B8B" w:rsidRPr="008928F2" w:rsidRDefault="51CC34E3" w:rsidP="008928F2">
            <w:pPr>
              <w:pStyle w:val="Table-Text"/>
            </w:pPr>
            <w:r w:rsidRPr="008928F2">
              <w:t xml:space="preserve">Invest in modern technologies, to strengthen safety and security of staff and young people at </w:t>
            </w:r>
            <w:r w:rsidR="00CB0789" w:rsidRPr="5BB17B76">
              <w:t>Kurlana Tapa Youth Justice Centre</w:t>
            </w:r>
          </w:p>
        </w:tc>
        <w:tc>
          <w:tcPr>
            <w:tcW w:w="3040" w:type="dxa"/>
            <w:tcBorders>
              <w:top w:val="single" w:sz="4" w:space="0" w:color="auto"/>
              <w:bottom w:val="single" w:sz="4" w:space="0" w:color="auto"/>
            </w:tcBorders>
          </w:tcPr>
          <w:p w14:paraId="06166B87" w14:textId="2EDB17DA" w:rsidR="00170B8B" w:rsidRPr="008928F2" w:rsidRDefault="00A021D2" w:rsidP="008928F2">
            <w:pPr>
              <w:pStyle w:val="Table-Text"/>
            </w:pPr>
            <w:r>
              <w:t>None</w:t>
            </w:r>
          </w:p>
        </w:tc>
        <w:tc>
          <w:tcPr>
            <w:tcW w:w="884" w:type="dxa"/>
            <w:tcBorders>
              <w:top w:val="single" w:sz="4" w:space="0" w:color="auto"/>
              <w:bottom w:val="single" w:sz="4" w:space="0" w:color="auto"/>
            </w:tcBorders>
          </w:tcPr>
          <w:p w14:paraId="2527D550" w14:textId="2AB521CA" w:rsidR="00170B8B" w:rsidRPr="008928F2" w:rsidRDefault="002202BE" w:rsidP="008928F2">
            <w:pPr>
              <w:pStyle w:val="Table-Text"/>
            </w:pPr>
            <w:r w:rsidRPr="008928F2">
              <w:t>DHS</w:t>
            </w:r>
          </w:p>
        </w:tc>
        <w:tc>
          <w:tcPr>
            <w:tcW w:w="2126" w:type="dxa"/>
            <w:tcBorders>
              <w:top w:val="single" w:sz="4" w:space="0" w:color="auto"/>
              <w:bottom w:val="single" w:sz="4" w:space="0" w:color="auto"/>
            </w:tcBorders>
          </w:tcPr>
          <w:p w14:paraId="042F2B8B" w14:textId="1E171F0E" w:rsidR="00170B8B" w:rsidRPr="008928F2" w:rsidRDefault="002202BE" w:rsidP="008928F2">
            <w:pPr>
              <w:pStyle w:val="Table-Text"/>
            </w:pPr>
            <w:r w:rsidRPr="008928F2">
              <w:t>31 December</w:t>
            </w:r>
            <w:r w:rsidR="00E168D8" w:rsidRPr="008928F2">
              <w:t xml:space="preserve"> 2020</w:t>
            </w:r>
          </w:p>
        </w:tc>
        <w:tc>
          <w:tcPr>
            <w:tcW w:w="2994" w:type="dxa"/>
            <w:tcBorders>
              <w:top w:val="single" w:sz="4" w:space="0" w:color="auto"/>
              <w:bottom w:val="single" w:sz="4" w:space="0" w:color="auto"/>
            </w:tcBorders>
          </w:tcPr>
          <w:p w14:paraId="20A61FEE" w14:textId="46B49818" w:rsidR="00170B8B" w:rsidRPr="008928F2" w:rsidRDefault="00E168D8" w:rsidP="008928F2">
            <w:pPr>
              <w:pStyle w:val="Table-Text"/>
            </w:pPr>
            <w:r w:rsidRPr="008928F2">
              <w:t>Strategy, Policy and Operational</w:t>
            </w:r>
          </w:p>
        </w:tc>
      </w:tr>
      <w:tr w:rsidR="00170B8B" w:rsidRPr="008928F2" w14:paraId="6EA9197F" w14:textId="77777777" w:rsidTr="00A021D2">
        <w:tc>
          <w:tcPr>
            <w:tcW w:w="709" w:type="dxa"/>
            <w:tcBorders>
              <w:top w:val="single" w:sz="4" w:space="0" w:color="auto"/>
              <w:bottom w:val="single" w:sz="4" w:space="0" w:color="auto"/>
            </w:tcBorders>
          </w:tcPr>
          <w:p w14:paraId="61B33C9B" w14:textId="108F0EA4" w:rsidR="00170B8B" w:rsidRPr="008928F2" w:rsidRDefault="00286927" w:rsidP="008928F2">
            <w:pPr>
              <w:pStyle w:val="Table-Text"/>
            </w:pPr>
            <w:r w:rsidRPr="008928F2">
              <w:t>2.</w:t>
            </w:r>
            <w:r w:rsidR="00C41C2C" w:rsidRPr="008928F2">
              <w:fldChar w:fldCharType="begin"/>
            </w:r>
            <w:r w:rsidR="00C41C2C" w:rsidRPr="008928F2">
              <w:instrText xml:space="preserve"> =MAX(Above)+1 </w:instrText>
            </w:r>
            <w:r w:rsidR="00C41C2C" w:rsidRPr="008928F2">
              <w:fldChar w:fldCharType="separate"/>
            </w:r>
            <w:r w:rsidR="00333587" w:rsidRPr="008928F2">
              <w:t>6</w:t>
            </w:r>
            <w:r w:rsidR="00C41C2C" w:rsidRPr="008928F2">
              <w:fldChar w:fldCharType="end"/>
            </w:r>
          </w:p>
        </w:tc>
        <w:tc>
          <w:tcPr>
            <w:tcW w:w="4156" w:type="dxa"/>
            <w:tcBorders>
              <w:top w:val="single" w:sz="4" w:space="0" w:color="auto"/>
              <w:bottom w:val="single" w:sz="4" w:space="0" w:color="auto"/>
            </w:tcBorders>
          </w:tcPr>
          <w:p w14:paraId="3428F8BA" w14:textId="1814512B" w:rsidR="00170B8B" w:rsidRPr="008928F2" w:rsidRDefault="00556906" w:rsidP="008928F2">
            <w:pPr>
              <w:pStyle w:val="Table-Text"/>
            </w:pPr>
            <w:r w:rsidRPr="008928F2">
              <w:t xml:space="preserve">Deliver evidence-based models of therapeutic care </w:t>
            </w:r>
          </w:p>
        </w:tc>
        <w:tc>
          <w:tcPr>
            <w:tcW w:w="3040" w:type="dxa"/>
            <w:tcBorders>
              <w:top w:val="single" w:sz="4" w:space="0" w:color="auto"/>
              <w:bottom w:val="single" w:sz="4" w:space="0" w:color="auto"/>
            </w:tcBorders>
          </w:tcPr>
          <w:p w14:paraId="21F39429" w14:textId="77777777" w:rsidR="003E62EE" w:rsidRPr="008928F2" w:rsidRDefault="003E62EE" w:rsidP="008928F2">
            <w:pPr>
              <w:pStyle w:val="Table-Text"/>
            </w:pPr>
            <w:r w:rsidRPr="008928F2">
              <w:t>DCP</w:t>
            </w:r>
          </w:p>
          <w:p w14:paraId="22DAB90F" w14:textId="0387CEE8" w:rsidR="00170B8B" w:rsidRPr="008928F2" w:rsidRDefault="003E62EE" w:rsidP="008928F2">
            <w:pPr>
              <w:pStyle w:val="Table-Text"/>
            </w:pPr>
            <w:r w:rsidRPr="008928F2">
              <w:t xml:space="preserve">SA </w:t>
            </w:r>
            <w:r w:rsidR="002E73B0" w:rsidRPr="008928F2">
              <w:t>Health</w:t>
            </w:r>
          </w:p>
        </w:tc>
        <w:tc>
          <w:tcPr>
            <w:tcW w:w="884" w:type="dxa"/>
            <w:tcBorders>
              <w:top w:val="single" w:sz="4" w:space="0" w:color="auto"/>
              <w:bottom w:val="single" w:sz="4" w:space="0" w:color="auto"/>
            </w:tcBorders>
          </w:tcPr>
          <w:p w14:paraId="3BFA44D9" w14:textId="2726B298" w:rsidR="00170B8B" w:rsidRPr="008928F2" w:rsidRDefault="002202BE" w:rsidP="008928F2">
            <w:pPr>
              <w:pStyle w:val="Table-Text"/>
            </w:pPr>
            <w:r w:rsidRPr="008928F2">
              <w:t>DHS</w:t>
            </w:r>
          </w:p>
        </w:tc>
        <w:tc>
          <w:tcPr>
            <w:tcW w:w="2126" w:type="dxa"/>
            <w:tcBorders>
              <w:top w:val="single" w:sz="4" w:space="0" w:color="auto"/>
              <w:bottom w:val="single" w:sz="4" w:space="0" w:color="auto"/>
            </w:tcBorders>
          </w:tcPr>
          <w:p w14:paraId="0B300EDA" w14:textId="3EE7B291" w:rsidR="00170B8B" w:rsidRPr="008928F2" w:rsidRDefault="00BC4EFD" w:rsidP="008928F2">
            <w:pPr>
              <w:pStyle w:val="Table-Text"/>
            </w:pPr>
            <w:r w:rsidRPr="008928F2">
              <w:t>31 December 2023</w:t>
            </w:r>
          </w:p>
        </w:tc>
        <w:tc>
          <w:tcPr>
            <w:tcW w:w="2994" w:type="dxa"/>
            <w:tcBorders>
              <w:top w:val="single" w:sz="4" w:space="0" w:color="auto"/>
              <w:bottom w:val="single" w:sz="4" w:space="0" w:color="auto"/>
            </w:tcBorders>
          </w:tcPr>
          <w:p w14:paraId="4DB688C0" w14:textId="1F81F0D9" w:rsidR="00170B8B" w:rsidRPr="008928F2" w:rsidRDefault="0067342C" w:rsidP="008928F2">
            <w:pPr>
              <w:pStyle w:val="Table-Text"/>
            </w:pPr>
            <w:r w:rsidRPr="008928F2">
              <w:t xml:space="preserve">Strategy, Policy and </w:t>
            </w:r>
            <w:r w:rsidR="00A021D2">
              <w:t>O</w:t>
            </w:r>
            <w:r w:rsidR="007C6B95" w:rsidRPr="008928F2">
              <w:t>perational</w:t>
            </w:r>
          </w:p>
        </w:tc>
      </w:tr>
      <w:tr w:rsidR="00170B8B" w:rsidRPr="008928F2" w14:paraId="30D4E124" w14:textId="77777777" w:rsidTr="00A021D2">
        <w:tc>
          <w:tcPr>
            <w:tcW w:w="709" w:type="dxa"/>
            <w:tcBorders>
              <w:top w:val="single" w:sz="4" w:space="0" w:color="auto"/>
              <w:bottom w:val="single" w:sz="4" w:space="0" w:color="auto"/>
            </w:tcBorders>
          </w:tcPr>
          <w:p w14:paraId="6F3C5CFB" w14:textId="0F363A7C" w:rsidR="00170B8B" w:rsidRPr="008928F2" w:rsidRDefault="00286927" w:rsidP="008928F2">
            <w:pPr>
              <w:pStyle w:val="Table-Text"/>
            </w:pPr>
            <w:r w:rsidRPr="008928F2">
              <w:t>2.</w:t>
            </w:r>
            <w:r w:rsidR="00C41C2C" w:rsidRPr="008928F2">
              <w:fldChar w:fldCharType="begin"/>
            </w:r>
            <w:r w:rsidR="00C41C2C" w:rsidRPr="008928F2">
              <w:instrText xml:space="preserve"> =MAX(Above)+1 </w:instrText>
            </w:r>
            <w:r w:rsidR="00C41C2C" w:rsidRPr="008928F2">
              <w:fldChar w:fldCharType="separate"/>
            </w:r>
            <w:r w:rsidR="00333587" w:rsidRPr="008928F2">
              <w:t>7</w:t>
            </w:r>
            <w:r w:rsidR="00C41C2C" w:rsidRPr="008928F2">
              <w:fldChar w:fldCharType="end"/>
            </w:r>
          </w:p>
        </w:tc>
        <w:tc>
          <w:tcPr>
            <w:tcW w:w="4156" w:type="dxa"/>
            <w:tcBorders>
              <w:top w:val="single" w:sz="4" w:space="0" w:color="auto"/>
              <w:bottom w:val="single" w:sz="4" w:space="0" w:color="auto"/>
            </w:tcBorders>
          </w:tcPr>
          <w:p w14:paraId="79C80928" w14:textId="5E7AA700" w:rsidR="00170B8B" w:rsidRPr="008928F2" w:rsidRDefault="00556906" w:rsidP="008928F2">
            <w:pPr>
              <w:pStyle w:val="Table-Text"/>
            </w:pPr>
            <w:r w:rsidRPr="008928F2">
              <w:t>Contribute to a Communities of Practice approach</w:t>
            </w:r>
          </w:p>
        </w:tc>
        <w:tc>
          <w:tcPr>
            <w:tcW w:w="3040" w:type="dxa"/>
            <w:tcBorders>
              <w:top w:val="single" w:sz="4" w:space="0" w:color="auto"/>
              <w:bottom w:val="single" w:sz="4" w:space="0" w:color="auto"/>
            </w:tcBorders>
          </w:tcPr>
          <w:p w14:paraId="5526AE32" w14:textId="77777777" w:rsidR="00170B8B" w:rsidRPr="008928F2" w:rsidRDefault="008C76E0" w:rsidP="008928F2">
            <w:pPr>
              <w:pStyle w:val="Table-Text"/>
            </w:pPr>
            <w:r w:rsidRPr="008928F2">
              <w:t>DCP</w:t>
            </w:r>
          </w:p>
          <w:p w14:paraId="7DBD7C3E" w14:textId="77777777" w:rsidR="008C76E0" w:rsidRPr="008928F2" w:rsidRDefault="008C76E0" w:rsidP="008928F2">
            <w:pPr>
              <w:pStyle w:val="Table-Text"/>
            </w:pPr>
            <w:r w:rsidRPr="008928F2">
              <w:t>SA Health</w:t>
            </w:r>
          </w:p>
          <w:p w14:paraId="394ADBE5" w14:textId="77777777" w:rsidR="008C76E0" w:rsidRPr="008928F2" w:rsidRDefault="008C76E0" w:rsidP="008928F2">
            <w:pPr>
              <w:pStyle w:val="Table-Text"/>
            </w:pPr>
            <w:r w:rsidRPr="008928F2">
              <w:t>Education</w:t>
            </w:r>
          </w:p>
          <w:p w14:paraId="02D4779A" w14:textId="77777777" w:rsidR="00553732" w:rsidRPr="008928F2" w:rsidRDefault="008C76E0" w:rsidP="008928F2">
            <w:pPr>
              <w:pStyle w:val="Table-Text"/>
            </w:pPr>
            <w:r w:rsidRPr="008928F2">
              <w:t>NGOs</w:t>
            </w:r>
            <w:r w:rsidR="00553732" w:rsidRPr="008928F2">
              <w:t xml:space="preserve"> </w:t>
            </w:r>
          </w:p>
          <w:p w14:paraId="0A144D07" w14:textId="0885748A" w:rsidR="00170B8B" w:rsidRPr="008928F2" w:rsidRDefault="00553732" w:rsidP="008928F2">
            <w:pPr>
              <w:pStyle w:val="Table-Text"/>
            </w:pPr>
            <w:r w:rsidRPr="008928F2">
              <w:t>DHS</w:t>
            </w:r>
          </w:p>
        </w:tc>
        <w:tc>
          <w:tcPr>
            <w:tcW w:w="884" w:type="dxa"/>
            <w:tcBorders>
              <w:top w:val="single" w:sz="4" w:space="0" w:color="auto"/>
              <w:bottom w:val="single" w:sz="4" w:space="0" w:color="auto"/>
            </w:tcBorders>
          </w:tcPr>
          <w:p w14:paraId="47DBC502" w14:textId="5600536E" w:rsidR="00170B8B" w:rsidRPr="008928F2" w:rsidRDefault="00553732" w:rsidP="008928F2">
            <w:pPr>
              <w:pStyle w:val="Table-Text"/>
            </w:pPr>
            <w:r w:rsidRPr="008928F2">
              <w:t>Joint</w:t>
            </w:r>
          </w:p>
        </w:tc>
        <w:tc>
          <w:tcPr>
            <w:tcW w:w="2126" w:type="dxa"/>
            <w:tcBorders>
              <w:top w:val="single" w:sz="4" w:space="0" w:color="auto"/>
              <w:bottom w:val="single" w:sz="4" w:space="0" w:color="auto"/>
            </w:tcBorders>
          </w:tcPr>
          <w:p w14:paraId="5521B1CC" w14:textId="66B3B442" w:rsidR="00170B8B" w:rsidRPr="008928F2" w:rsidRDefault="002D794C" w:rsidP="008928F2">
            <w:pPr>
              <w:pStyle w:val="Table-Text"/>
            </w:pPr>
            <w:r w:rsidRPr="008928F2">
              <w:t>30 June 2022</w:t>
            </w:r>
          </w:p>
        </w:tc>
        <w:tc>
          <w:tcPr>
            <w:tcW w:w="2994" w:type="dxa"/>
            <w:tcBorders>
              <w:top w:val="single" w:sz="4" w:space="0" w:color="auto"/>
              <w:bottom w:val="single" w:sz="4" w:space="0" w:color="auto"/>
            </w:tcBorders>
          </w:tcPr>
          <w:p w14:paraId="08AEB14F" w14:textId="586A1B86" w:rsidR="00170B8B" w:rsidRPr="008928F2" w:rsidRDefault="002D794C" w:rsidP="008928F2">
            <w:pPr>
              <w:pStyle w:val="Table-Text"/>
            </w:pPr>
            <w:r w:rsidRPr="008928F2">
              <w:t>Strategy, Policy and Operational</w:t>
            </w:r>
          </w:p>
        </w:tc>
      </w:tr>
      <w:tr w:rsidR="00170B8B" w:rsidRPr="008928F2" w14:paraId="4B14595E" w14:textId="77777777" w:rsidTr="00A021D2">
        <w:tc>
          <w:tcPr>
            <w:tcW w:w="709" w:type="dxa"/>
            <w:tcBorders>
              <w:top w:val="single" w:sz="4" w:space="0" w:color="auto"/>
            </w:tcBorders>
          </w:tcPr>
          <w:p w14:paraId="796F270A" w14:textId="5DE0B254" w:rsidR="00170B8B" w:rsidRPr="008928F2" w:rsidRDefault="00286927" w:rsidP="008928F2">
            <w:pPr>
              <w:pStyle w:val="Table-Text"/>
            </w:pPr>
            <w:r w:rsidRPr="008928F2">
              <w:t>2.</w:t>
            </w:r>
            <w:r w:rsidR="00C41C2C" w:rsidRPr="008928F2">
              <w:fldChar w:fldCharType="begin"/>
            </w:r>
            <w:r w:rsidR="00C41C2C" w:rsidRPr="008928F2">
              <w:instrText xml:space="preserve"> =MAX(Above)+1 </w:instrText>
            </w:r>
            <w:r w:rsidR="00C41C2C" w:rsidRPr="008928F2">
              <w:fldChar w:fldCharType="separate"/>
            </w:r>
            <w:r w:rsidR="00333587" w:rsidRPr="008928F2">
              <w:t>8</w:t>
            </w:r>
            <w:r w:rsidR="00C41C2C" w:rsidRPr="008928F2">
              <w:fldChar w:fldCharType="end"/>
            </w:r>
          </w:p>
        </w:tc>
        <w:tc>
          <w:tcPr>
            <w:tcW w:w="4156" w:type="dxa"/>
            <w:tcBorders>
              <w:top w:val="single" w:sz="4" w:space="0" w:color="auto"/>
            </w:tcBorders>
          </w:tcPr>
          <w:p w14:paraId="3839AD3C" w14:textId="1961ABBA" w:rsidR="00170B8B" w:rsidRPr="008928F2" w:rsidRDefault="00F37260" w:rsidP="008928F2">
            <w:pPr>
              <w:pStyle w:val="Table-Text"/>
            </w:pPr>
            <w:r w:rsidRPr="008928F2">
              <w:t>Improve</w:t>
            </w:r>
            <w:r w:rsidR="00556906" w:rsidRPr="008928F2">
              <w:t xml:space="preserve"> formalised development pathways for all staff</w:t>
            </w:r>
          </w:p>
        </w:tc>
        <w:tc>
          <w:tcPr>
            <w:tcW w:w="3040" w:type="dxa"/>
            <w:tcBorders>
              <w:top w:val="single" w:sz="4" w:space="0" w:color="auto"/>
            </w:tcBorders>
          </w:tcPr>
          <w:p w14:paraId="17B7A15A" w14:textId="714624F1" w:rsidR="00170B8B" w:rsidRPr="008928F2" w:rsidRDefault="00410A76" w:rsidP="008928F2">
            <w:pPr>
              <w:pStyle w:val="Table-Text"/>
            </w:pPr>
            <w:r>
              <w:t>None</w:t>
            </w:r>
          </w:p>
        </w:tc>
        <w:tc>
          <w:tcPr>
            <w:tcW w:w="884" w:type="dxa"/>
            <w:tcBorders>
              <w:top w:val="single" w:sz="4" w:space="0" w:color="auto"/>
            </w:tcBorders>
          </w:tcPr>
          <w:p w14:paraId="7AB5C944" w14:textId="13BFC0B8" w:rsidR="00170B8B" w:rsidRPr="008928F2" w:rsidRDefault="00A41329" w:rsidP="008928F2">
            <w:pPr>
              <w:pStyle w:val="Table-Text"/>
            </w:pPr>
            <w:r w:rsidRPr="008928F2">
              <w:t>DHS</w:t>
            </w:r>
          </w:p>
        </w:tc>
        <w:tc>
          <w:tcPr>
            <w:tcW w:w="2126" w:type="dxa"/>
            <w:tcBorders>
              <w:top w:val="single" w:sz="4" w:space="0" w:color="auto"/>
            </w:tcBorders>
          </w:tcPr>
          <w:p w14:paraId="2AF73229" w14:textId="7F3B4228" w:rsidR="00170B8B" w:rsidRPr="008928F2" w:rsidRDefault="00302011" w:rsidP="008928F2">
            <w:pPr>
              <w:pStyle w:val="Table-Text"/>
            </w:pPr>
            <w:r w:rsidRPr="008928F2">
              <w:t>30 June 2021</w:t>
            </w:r>
          </w:p>
        </w:tc>
        <w:tc>
          <w:tcPr>
            <w:tcW w:w="2994" w:type="dxa"/>
            <w:tcBorders>
              <w:top w:val="single" w:sz="4" w:space="0" w:color="auto"/>
            </w:tcBorders>
          </w:tcPr>
          <w:p w14:paraId="684C1D7E" w14:textId="591E5DC5" w:rsidR="00170B8B" w:rsidRPr="008928F2" w:rsidRDefault="006749E3" w:rsidP="008928F2">
            <w:pPr>
              <w:pStyle w:val="Table-Text"/>
            </w:pPr>
            <w:r w:rsidRPr="008928F2">
              <w:t>Strategy</w:t>
            </w:r>
          </w:p>
        </w:tc>
      </w:tr>
    </w:tbl>
    <w:p w14:paraId="1DF3A02B" w14:textId="7502BA5B" w:rsidR="00635705" w:rsidRPr="00635705" w:rsidRDefault="00635705" w:rsidP="004E784C">
      <w:pPr>
        <w:pStyle w:val="Heading3"/>
      </w:pPr>
      <w:r w:rsidRPr="00635705">
        <w:lastRenderedPageBreak/>
        <w:t>3. Connected services – We provide holistic, flexible and connected services to achieve positive lived experiences and lasting outcomes for children and young people, families and communities.</w:t>
      </w:r>
    </w:p>
    <w:tbl>
      <w:tblPr>
        <w:tblW w:w="14193" w:type="dxa"/>
        <w:tblLayout w:type="fixed"/>
        <w:tblLook w:val="04A0" w:firstRow="1" w:lastRow="0" w:firstColumn="1" w:lastColumn="0" w:noHBand="0" w:noVBand="1"/>
      </w:tblPr>
      <w:tblGrid>
        <w:gridCol w:w="717"/>
        <w:gridCol w:w="4207"/>
        <w:gridCol w:w="3077"/>
        <w:gridCol w:w="895"/>
        <w:gridCol w:w="2303"/>
        <w:gridCol w:w="2994"/>
      </w:tblGrid>
      <w:tr w:rsidR="00635705" w:rsidRPr="008928F2" w14:paraId="4B01837C" w14:textId="77777777" w:rsidTr="00A021D2">
        <w:trPr>
          <w:tblHeader/>
        </w:trPr>
        <w:tc>
          <w:tcPr>
            <w:tcW w:w="717" w:type="dxa"/>
            <w:tcBorders>
              <w:bottom w:val="single" w:sz="4" w:space="0" w:color="auto"/>
            </w:tcBorders>
            <w:shd w:val="clear" w:color="auto" w:fill="F2F2F2" w:themeFill="background1" w:themeFillShade="F2"/>
          </w:tcPr>
          <w:p w14:paraId="0BE16BFF" w14:textId="77777777" w:rsidR="00635705" w:rsidRPr="008928F2" w:rsidRDefault="00635705" w:rsidP="008928F2">
            <w:pPr>
              <w:pStyle w:val="Table-Header"/>
            </w:pPr>
            <w:r w:rsidRPr="008928F2">
              <w:t>#</w:t>
            </w:r>
          </w:p>
        </w:tc>
        <w:tc>
          <w:tcPr>
            <w:tcW w:w="4207" w:type="dxa"/>
            <w:tcBorders>
              <w:bottom w:val="single" w:sz="4" w:space="0" w:color="auto"/>
            </w:tcBorders>
            <w:shd w:val="clear" w:color="auto" w:fill="F2F2F2" w:themeFill="background1" w:themeFillShade="F2"/>
          </w:tcPr>
          <w:p w14:paraId="61F8D673" w14:textId="77777777" w:rsidR="00635705" w:rsidRPr="008928F2" w:rsidRDefault="00635705" w:rsidP="008928F2">
            <w:pPr>
              <w:pStyle w:val="Table-Header"/>
            </w:pPr>
            <w:r w:rsidRPr="008928F2">
              <w:t>Project</w:t>
            </w:r>
          </w:p>
        </w:tc>
        <w:tc>
          <w:tcPr>
            <w:tcW w:w="3077" w:type="dxa"/>
            <w:tcBorders>
              <w:bottom w:val="single" w:sz="4" w:space="0" w:color="auto"/>
            </w:tcBorders>
            <w:shd w:val="clear" w:color="auto" w:fill="F2F2F2" w:themeFill="background1" w:themeFillShade="F2"/>
          </w:tcPr>
          <w:p w14:paraId="2247EF2F" w14:textId="77777777" w:rsidR="00635705" w:rsidRPr="008928F2" w:rsidRDefault="00635705" w:rsidP="008928F2">
            <w:pPr>
              <w:pStyle w:val="Table-Header"/>
            </w:pPr>
            <w:r w:rsidRPr="008928F2">
              <w:t>Partners</w:t>
            </w:r>
          </w:p>
        </w:tc>
        <w:tc>
          <w:tcPr>
            <w:tcW w:w="895" w:type="dxa"/>
            <w:tcBorders>
              <w:bottom w:val="single" w:sz="4" w:space="0" w:color="auto"/>
            </w:tcBorders>
            <w:shd w:val="clear" w:color="auto" w:fill="F2F2F2" w:themeFill="background1" w:themeFillShade="F2"/>
          </w:tcPr>
          <w:p w14:paraId="3CAF9A78" w14:textId="77777777" w:rsidR="00635705" w:rsidRPr="008928F2" w:rsidRDefault="00635705" w:rsidP="008928F2">
            <w:pPr>
              <w:pStyle w:val="Table-Header"/>
            </w:pPr>
            <w:r w:rsidRPr="008928F2">
              <w:t>Lead</w:t>
            </w:r>
          </w:p>
        </w:tc>
        <w:tc>
          <w:tcPr>
            <w:tcW w:w="2303" w:type="dxa"/>
            <w:tcBorders>
              <w:bottom w:val="single" w:sz="4" w:space="0" w:color="auto"/>
            </w:tcBorders>
            <w:shd w:val="clear" w:color="auto" w:fill="F2F2F2" w:themeFill="background1" w:themeFillShade="F2"/>
          </w:tcPr>
          <w:p w14:paraId="37C5B081" w14:textId="77777777" w:rsidR="00635705" w:rsidRPr="008928F2" w:rsidRDefault="00635705" w:rsidP="008928F2">
            <w:pPr>
              <w:pStyle w:val="Table-Header"/>
            </w:pPr>
            <w:r w:rsidRPr="008928F2">
              <w:t>Timeframe</w:t>
            </w:r>
          </w:p>
        </w:tc>
        <w:tc>
          <w:tcPr>
            <w:tcW w:w="2994" w:type="dxa"/>
            <w:tcBorders>
              <w:bottom w:val="single" w:sz="4" w:space="0" w:color="auto"/>
            </w:tcBorders>
            <w:shd w:val="clear" w:color="auto" w:fill="F2F2F2" w:themeFill="background1" w:themeFillShade="F2"/>
          </w:tcPr>
          <w:p w14:paraId="36112692" w14:textId="77777777" w:rsidR="00635705" w:rsidRPr="008928F2" w:rsidRDefault="00635705" w:rsidP="008928F2">
            <w:pPr>
              <w:pStyle w:val="Table-Header"/>
            </w:pPr>
            <w:r w:rsidRPr="008928F2">
              <w:t>Strategy / Policy / Operational</w:t>
            </w:r>
          </w:p>
        </w:tc>
      </w:tr>
      <w:tr w:rsidR="00170B8B" w:rsidRPr="008928F2" w14:paraId="2C0899E9" w14:textId="31FAF1DE" w:rsidTr="00A021D2">
        <w:tc>
          <w:tcPr>
            <w:tcW w:w="717" w:type="dxa"/>
            <w:tcBorders>
              <w:bottom w:val="single" w:sz="4" w:space="0" w:color="auto"/>
            </w:tcBorders>
          </w:tcPr>
          <w:p w14:paraId="3C9BF0F8" w14:textId="2FDDF0EF" w:rsidR="00170B8B" w:rsidRPr="008928F2" w:rsidRDefault="00286927" w:rsidP="008928F2">
            <w:pPr>
              <w:pStyle w:val="Table-Text"/>
            </w:pPr>
            <w:r w:rsidRPr="008928F2">
              <w:t>3.</w:t>
            </w:r>
            <w:r w:rsidR="00333587" w:rsidRPr="008928F2">
              <w:t>1</w:t>
            </w:r>
          </w:p>
        </w:tc>
        <w:tc>
          <w:tcPr>
            <w:tcW w:w="4207" w:type="dxa"/>
            <w:tcBorders>
              <w:bottom w:val="single" w:sz="4" w:space="0" w:color="auto"/>
            </w:tcBorders>
          </w:tcPr>
          <w:p w14:paraId="37C2D342" w14:textId="028BE5F3" w:rsidR="00170B8B" w:rsidRPr="008928F2" w:rsidRDefault="00170B8B" w:rsidP="008928F2">
            <w:pPr>
              <w:pStyle w:val="Table-Text"/>
            </w:pPr>
            <w:r w:rsidRPr="008928F2">
              <w:t xml:space="preserve">Improve diversionary and statutory practice </w:t>
            </w:r>
          </w:p>
        </w:tc>
        <w:tc>
          <w:tcPr>
            <w:tcW w:w="3077" w:type="dxa"/>
            <w:tcBorders>
              <w:bottom w:val="single" w:sz="4" w:space="0" w:color="auto"/>
            </w:tcBorders>
          </w:tcPr>
          <w:p w14:paraId="374DCE92" w14:textId="77777777" w:rsidR="00150CDD" w:rsidRPr="008928F2" w:rsidRDefault="00586AD0" w:rsidP="008928F2">
            <w:pPr>
              <w:pStyle w:val="Table-Text"/>
            </w:pPr>
            <w:r w:rsidRPr="008928F2">
              <w:t>CAA</w:t>
            </w:r>
          </w:p>
          <w:p w14:paraId="57287A5F" w14:textId="77777777" w:rsidR="00586AD0" w:rsidRPr="008928F2" w:rsidRDefault="00586AD0" w:rsidP="008928F2">
            <w:pPr>
              <w:pStyle w:val="Table-Text"/>
            </w:pPr>
            <w:r w:rsidRPr="008928F2">
              <w:t>DCS</w:t>
            </w:r>
          </w:p>
          <w:p w14:paraId="3FFD4E8D" w14:textId="77777777" w:rsidR="00586AD0" w:rsidRPr="008928F2" w:rsidRDefault="00586AD0" w:rsidP="008928F2">
            <w:pPr>
              <w:pStyle w:val="Table-Text"/>
            </w:pPr>
            <w:r w:rsidRPr="008928F2">
              <w:t>SAPOL</w:t>
            </w:r>
          </w:p>
          <w:p w14:paraId="41ACC79D" w14:textId="126455DD" w:rsidR="00333587" w:rsidRPr="008928F2" w:rsidRDefault="00333587" w:rsidP="008928F2">
            <w:pPr>
              <w:pStyle w:val="Table-Text"/>
            </w:pPr>
            <w:r w:rsidRPr="008928F2">
              <w:t>AGD</w:t>
            </w:r>
          </w:p>
        </w:tc>
        <w:tc>
          <w:tcPr>
            <w:tcW w:w="895" w:type="dxa"/>
            <w:tcBorders>
              <w:bottom w:val="single" w:sz="4" w:space="0" w:color="auto"/>
            </w:tcBorders>
          </w:tcPr>
          <w:p w14:paraId="29700C61" w14:textId="45282F2E" w:rsidR="00170B8B" w:rsidRPr="008928F2" w:rsidRDefault="00A27B59" w:rsidP="008928F2">
            <w:pPr>
              <w:pStyle w:val="Table-Text"/>
            </w:pPr>
            <w:r w:rsidRPr="008928F2">
              <w:t>DHS</w:t>
            </w:r>
          </w:p>
        </w:tc>
        <w:tc>
          <w:tcPr>
            <w:tcW w:w="2303" w:type="dxa"/>
            <w:tcBorders>
              <w:bottom w:val="single" w:sz="4" w:space="0" w:color="auto"/>
            </w:tcBorders>
          </w:tcPr>
          <w:p w14:paraId="44E543F4" w14:textId="2FD81F9E" w:rsidR="00170B8B" w:rsidRPr="008928F2" w:rsidRDefault="00170B8B" w:rsidP="008928F2">
            <w:pPr>
              <w:pStyle w:val="Table-Text"/>
            </w:pPr>
            <w:r w:rsidRPr="008928F2">
              <w:t xml:space="preserve"> </w:t>
            </w:r>
            <w:r w:rsidR="008A42D6" w:rsidRPr="008928F2">
              <w:t>31 December 2023</w:t>
            </w:r>
          </w:p>
        </w:tc>
        <w:tc>
          <w:tcPr>
            <w:tcW w:w="2994" w:type="dxa"/>
            <w:tcBorders>
              <w:bottom w:val="single" w:sz="4" w:space="0" w:color="auto"/>
            </w:tcBorders>
          </w:tcPr>
          <w:p w14:paraId="031DA81F" w14:textId="4BFD2F35" w:rsidR="00170B8B" w:rsidRPr="00067AC1" w:rsidRDefault="00067AC1" w:rsidP="008928F2">
            <w:pPr>
              <w:pStyle w:val="Table-Text"/>
            </w:pPr>
            <w:r w:rsidRPr="00067AC1">
              <w:t>Strategy, Policy and Operational</w:t>
            </w:r>
          </w:p>
        </w:tc>
      </w:tr>
      <w:tr w:rsidR="00170B8B" w:rsidRPr="008928F2" w14:paraId="002FAA4A" w14:textId="33583AEC" w:rsidTr="00A021D2">
        <w:tc>
          <w:tcPr>
            <w:tcW w:w="717" w:type="dxa"/>
            <w:tcBorders>
              <w:top w:val="single" w:sz="4" w:space="0" w:color="auto"/>
              <w:bottom w:val="single" w:sz="4" w:space="0" w:color="auto"/>
            </w:tcBorders>
          </w:tcPr>
          <w:p w14:paraId="5E745E8B" w14:textId="2FA52000" w:rsidR="00170B8B" w:rsidRPr="008928F2" w:rsidRDefault="00286927" w:rsidP="008928F2">
            <w:pPr>
              <w:pStyle w:val="Table-Text"/>
            </w:pPr>
            <w:r w:rsidRPr="008928F2">
              <w:t>3.</w:t>
            </w:r>
            <w:r w:rsidR="00C41C2C" w:rsidRPr="008928F2">
              <w:fldChar w:fldCharType="begin"/>
            </w:r>
            <w:r w:rsidR="00C41C2C" w:rsidRPr="008928F2">
              <w:instrText xml:space="preserve"> =MAX(Above)+1 </w:instrText>
            </w:r>
            <w:r w:rsidR="00C41C2C" w:rsidRPr="008928F2">
              <w:fldChar w:fldCharType="separate"/>
            </w:r>
            <w:r w:rsidR="00333587" w:rsidRPr="008928F2">
              <w:t>2</w:t>
            </w:r>
            <w:r w:rsidR="00C41C2C" w:rsidRPr="008928F2">
              <w:fldChar w:fldCharType="end"/>
            </w:r>
          </w:p>
        </w:tc>
        <w:tc>
          <w:tcPr>
            <w:tcW w:w="4207" w:type="dxa"/>
            <w:tcBorders>
              <w:top w:val="single" w:sz="4" w:space="0" w:color="auto"/>
              <w:bottom w:val="single" w:sz="4" w:space="0" w:color="auto"/>
            </w:tcBorders>
          </w:tcPr>
          <w:p w14:paraId="6B5E693A" w14:textId="01456518" w:rsidR="00170B8B" w:rsidRPr="008928F2" w:rsidRDefault="00F37260" w:rsidP="008928F2">
            <w:pPr>
              <w:pStyle w:val="Table-Text"/>
            </w:pPr>
            <w:r w:rsidRPr="008928F2">
              <w:t>E</w:t>
            </w:r>
            <w:r w:rsidR="00170B8B" w:rsidRPr="008928F2">
              <w:t xml:space="preserve">ffectively respond to the needs of Aboriginal children and young people </w:t>
            </w:r>
          </w:p>
        </w:tc>
        <w:tc>
          <w:tcPr>
            <w:tcW w:w="3077" w:type="dxa"/>
            <w:tcBorders>
              <w:top w:val="single" w:sz="4" w:space="0" w:color="auto"/>
              <w:bottom w:val="single" w:sz="4" w:space="0" w:color="auto"/>
            </w:tcBorders>
          </w:tcPr>
          <w:p w14:paraId="5DABE6E1" w14:textId="30D9F0E0" w:rsidR="00586AD0" w:rsidRPr="008928F2" w:rsidRDefault="00586AD0" w:rsidP="008928F2">
            <w:pPr>
              <w:pStyle w:val="Table-Text"/>
            </w:pPr>
            <w:r w:rsidRPr="008928F2">
              <w:t>MAYFS</w:t>
            </w:r>
          </w:p>
          <w:p w14:paraId="14555288" w14:textId="0FCE2D45" w:rsidR="001D2DD7" w:rsidRPr="008928F2" w:rsidRDefault="001D2DD7" w:rsidP="008928F2">
            <w:pPr>
              <w:pStyle w:val="Table-Text"/>
            </w:pPr>
            <w:r w:rsidRPr="008928F2">
              <w:t>A</w:t>
            </w:r>
            <w:r w:rsidR="001514C0" w:rsidRPr="008928F2">
              <w:t>boriginal Communit</w:t>
            </w:r>
            <w:r w:rsidR="008F096E" w:rsidRPr="008928F2">
              <w:t>ies</w:t>
            </w:r>
            <w:r w:rsidR="001514C0" w:rsidRPr="008928F2">
              <w:t xml:space="preserve"> Controlled Organisations</w:t>
            </w:r>
          </w:p>
        </w:tc>
        <w:tc>
          <w:tcPr>
            <w:tcW w:w="895" w:type="dxa"/>
            <w:tcBorders>
              <w:top w:val="single" w:sz="4" w:space="0" w:color="auto"/>
              <w:bottom w:val="single" w:sz="4" w:space="0" w:color="auto"/>
            </w:tcBorders>
          </w:tcPr>
          <w:p w14:paraId="213EEDCD" w14:textId="3833AD13" w:rsidR="00170B8B" w:rsidRPr="008928F2" w:rsidRDefault="000B46CD" w:rsidP="008928F2">
            <w:pPr>
              <w:pStyle w:val="Table-Text"/>
            </w:pPr>
            <w:r w:rsidRPr="008928F2">
              <w:t>DHS</w:t>
            </w:r>
          </w:p>
        </w:tc>
        <w:tc>
          <w:tcPr>
            <w:tcW w:w="2303" w:type="dxa"/>
            <w:tcBorders>
              <w:top w:val="single" w:sz="4" w:space="0" w:color="auto"/>
              <w:bottom w:val="single" w:sz="4" w:space="0" w:color="auto"/>
            </w:tcBorders>
          </w:tcPr>
          <w:p w14:paraId="56A16DFB" w14:textId="31FF4596" w:rsidR="00170B8B" w:rsidRPr="008928F2" w:rsidRDefault="00211DEF" w:rsidP="008928F2">
            <w:pPr>
              <w:pStyle w:val="Table-Text"/>
            </w:pPr>
            <w:r w:rsidRPr="008928F2">
              <w:t>30 June 2021</w:t>
            </w:r>
          </w:p>
        </w:tc>
        <w:tc>
          <w:tcPr>
            <w:tcW w:w="2994" w:type="dxa"/>
            <w:tcBorders>
              <w:top w:val="single" w:sz="4" w:space="0" w:color="auto"/>
              <w:bottom w:val="single" w:sz="4" w:space="0" w:color="auto"/>
            </w:tcBorders>
          </w:tcPr>
          <w:p w14:paraId="5AD93770" w14:textId="6D11F06E" w:rsidR="00170B8B" w:rsidRPr="008928F2" w:rsidRDefault="00067AC1" w:rsidP="008928F2">
            <w:pPr>
              <w:pStyle w:val="Table-Text"/>
            </w:pPr>
            <w:r w:rsidRPr="00067AC1">
              <w:t>Strategy, Policy and Operational</w:t>
            </w:r>
          </w:p>
        </w:tc>
      </w:tr>
      <w:tr w:rsidR="00170B8B" w:rsidRPr="008928F2" w14:paraId="62F51EE2" w14:textId="47EBB267" w:rsidTr="00A021D2">
        <w:tc>
          <w:tcPr>
            <w:tcW w:w="717" w:type="dxa"/>
            <w:tcBorders>
              <w:top w:val="single" w:sz="4" w:space="0" w:color="auto"/>
              <w:bottom w:val="single" w:sz="4" w:space="0" w:color="auto"/>
            </w:tcBorders>
          </w:tcPr>
          <w:p w14:paraId="74509AFB" w14:textId="08EC57ED" w:rsidR="00170B8B" w:rsidRPr="008928F2" w:rsidRDefault="00286927" w:rsidP="008928F2">
            <w:pPr>
              <w:pStyle w:val="Table-Text"/>
            </w:pPr>
            <w:r w:rsidRPr="008928F2">
              <w:t>3.</w:t>
            </w:r>
            <w:r w:rsidR="00C41C2C" w:rsidRPr="008928F2">
              <w:fldChar w:fldCharType="begin"/>
            </w:r>
            <w:r w:rsidR="00C41C2C" w:rsidRPr="008928F2">
              <w:instrText xml:space="preserve"> =MAX(Above)+1 </w:instrText>
            </w:r>
            <w:r w:rsidR="00C41C2C" w:rsidRPr="008928F2">
              <w:fldChar w:fldCharType="separate"/>
            </w:r>
            <w:r w:rsidR="00333587" w:rsidRPr="008928F2">
              <w:t>3</w:t>
            </w:r>
            <w:r w:rsidR="00C41C2C" w:rsidRPr="008928F2">
              <w:fldChar w:fldCharType="end"/>
            </w:r>
          </w:p>
        </w:tc>
        <w:tc>
          <w:tcPr>
            <w:tcW w:w="4207" w:type="dxa"/>
            <w:tcBorders>
              <w:top w:val="single" w:sz="4" w:space="0" w:color="auto"/>
              <w:bottom w:val="single" w:sz="4" w:space="0" w:color="auto"/>
            </w:tcBorders>
          </w:tcPr>
          <w:p w14:paraId="2CE9DEDA" w14:textId="756B9C86" w:rsidR="00170B8B" w:rsidRPr="008928F2" w:rsidRDefault="00A06186" w:rsidP="008928F2">
            <w:pPr>
              <w:pStyle w:val="Table-Text"/>
            </w:pPr>
            <w:r w:rsidRPr="008928F2">
              <w:t>B</w:t>
            </w:r>
            <w:r w:rsidR="00170B8B" w:rsidRPr="008928F2">
              <w:t>etter meet the needs of dual clients</w:t>
            </w:r>
            <w:r w:rsidR="008A159A">
              <w:t xml:space="preserve"> </w:t>
            </w:r>
          </w:p>
        </w:tc>
        <w:tc>
          <w:tcPr>
            <w:tcW w:w="3077" w:type="dxa"/>
            <w:tcBorders>
              <w:top w:val="single" w:sz="4" w:space="0" w:color="auto"/>
              <w:bottom w:val="single" w:sz="4" w:space="0" w:color="auto"/>
            </w:tcBorders>
          </w:tcPr>
          <w:p w14:paraId="00ED8BBC" w14:textId="7709D2FB" w:rsidR="00170B8B" w:rsidRPr="008928F2" w:rsidRDefault="00067F6E" w:rsidP="008928F2">
            <w:pPr>
              <w:pStyle w:val="Table-Text"/>
            </w:pPr>
            <w:r w:rsidRPr="008928F2">
              <w:t>DCP</w:t>
            </w:r>
          </w:p>
        </w:tc>
        <w:tc>
          <w:tcPr>
            <w:tcW w:w="895" w:type="dxa"/>
            <w:tcBorders>
              <w:top w:val="single" w:sz="4" w:space="0" w:color="auto"/>
              <w:bottom w:val="single" w:sz="4" w:space="0" w:color="auto"/>
            </w:tcBorders>
          </w:tcPr>
          <w:p w14:paraId="6FA560B4" w14:textId="28B2258D" w:rsidR="00170B8B" w:rsidRPr="008928F2" w:rsidRDefault="00211DEF" w:rsidP="008928F2">
            <w:pPr>
              <w:pStyle w:val="Table-Text"/>
            </w:pPr>
            <w:r w:rsidRPr="008928F2">
              <w:t>DHS</w:t>
            </w:r>
          </w:p>
        </w:tc>
        <w:tc>
          <w:tcPr>
            <w:tcW w:w="2303" w:type="dxa"/>
            <w:tcBorders>
              <w:top w:val="single" w:sz="4" w:space="0" w:color="auto"/>
              <w:bottom w:val="single" w:sz="4" w:space="0" w:color="auto"/>
            </w:tcBorders>
          </w:tcPr>
          <w:p w14:paraId="0C5A83A8" w14:textId="6D0B1F8C" w:rsidR="00170B8B" w:rsidRPr="008928F2" w:rsidRDefault="00CF6386" w:rsidP="008928F2">
            <w:pPr>
              <w:pStyle w:val="Table-Text"/>
            </w:pPr>
            <w:r w:rsidRPr="008928F2">
              <w:t>30 June 2021</w:t>
            </w:r>
          </w:p>
        </w:tc>
        <w:tc>
          <w:tcPr>
            <w:tcW w:w="2994" w:type="dxa"/>
            <w:tcBorders>
              <w:top w:val="single" w:sz="4" w:space="0" w:color="auto"/>
              <w:bottom w:val="single" w:sz="4" w:space="0" w:color="auto"/>
            </w:tcBorders>
          </w:tcPr>
          <w:p w14:paraId="3827ED6A" w14:textId="7BE744EF" w:rsidR="00170B8B" w:rsidRPr="008928F2" w:rsidRDefault="00CF6386" w:rsidP="008928F2">
            <w:pPr>
              <w:pStyle w:val="Table-Text"/>
            </w:pPr>
            <w:r w:rsidRPr="008928F2">
              <w:t>Strategy, Policy and Operational</w:t>
            </w:r>
          </w:p>
        </w:tc>
      </w:tr>
      <w:tr w:rsidR="00170B8B" w:rsidRPr="008928F2" w14:paraId="331A135E" w14:textId="3B261C26" w:rsidTr="00A021D2">
        <w:tc>
          <w:tcPr>
            <w:tcW w:w="717" w:type="dxa"/>
            <w:tcBorders>
              <w:top w:val="single" w:sz="4" w:space="0" w:color="auto"/>
              <w:bottom w:val="single" w:sz="4" w:space="0" w:color="auto"/>
            </w:tcBorders>
          </w:tcPr>
          <w:p w14:paraId="4B22D144" w14:textId="0C510F6C" w:rsidR="00170B8B" w:rsidRPr="008928F2" w:rsidRDefault="00286927" w:rsidP="008928F2">
            <w:pPr>
              <w:pStyle w:val="Table-Text"/>
            </w:pPr>
            <w:r w:rsidRPr="008928F2">
              <w:t>3.</w:t>
            </w:r>
            <w:r w:rsidR="00C41C2C" w:rsidRPr="008928F2">
              <w:fldChar w:fldCharType="begin"/>
            </w:r>
            <w:r w:rsidR="00C41C2C" w:rsidRPr="008928F2">
              <w:instrText xml:space="preserve"> =MAX(Above)+1 </w:instrText>
            </w:r>
            <w:r w:rsidR="00C41C2C" w:rsidRPr="008928F2">
              <w:fldChar w:fldCharType="separate"/>
            </w:r>
            <w:r w:rsidR="00333587" w:rsidRPr="008928F2">
              <w:t>4</w:t>
            </w:r>
            <w:r w:rsidR="00C41C2C" w:rsidRPr="008928F2">
              <w:fldChar w:fldCharType="end"/>
            </w:r>
          </w:p>
        </w:tc>
        <w:tc>
          <w:tcPr>
            <w:tcW w:w="4207" w:type="dxa"/>
            <w:tcBorders>
              <w:top w:val="single" w:sz="4" w:space="0" w:color="auto"/>
              <w:bottom w:val="single" w:sz="4" w:space="0" w:color="auto"/>
            </w:tcBorders>
          </w:tcPr>
          <w:p w14:paraId="17E59F8D" w14:textId="6FE7F7FD" w:rsidR="00170B8B" w:rsidRPr="008928F2" w:rsidRDefault="00170B8B" w:rsidP="008928F2">
            <w:pPr>
              <w:pStyle w:val="Table-Text"/>
            </w:pPr>
            <w:r w:rsidRPr="008928F2">
              <w:t xml:space="preserve">Deliver a targeted approach for school re-engagement </w:t>
            </w:r>
          </w:p>
        </w:tc>
        <w:tc>
          <w:tcPr>
            <w:tcW w:w="3077" w:type="dxa"/>
            <w:tcBorders>
              <w:top w:val="single" w:sz="4" w:space="0" w:color="auto"/>
              <w:bottom w:val="single" w:sz="4" w:space="0" w:color="auto"/>
            </w:tcBorders>
          </w:tcPr>
          <w:p w14:paraId="385013BC" w14:textId="38C09DD3" w:rsidR="00170B8B" w:rsidRPr="008928F2" w:rsidRDefault="00067F6E" w:rsidP="008928F2">
            <w:pPr>
              <w:pStyle w:val="Table-Text"/>
            </w:pPr>
            <w:r w:rsidRPr="008928F2">
              <w:t>YEC</w:t>
            </w:r>
          </w:p>
        </w:tc>
        <w:tc>
          <w:tcPr>
            <w:tcW w:w="895" w:type="dxa"/>
            <w:tcBorders>
              <w:top w:val="single" w:sz="4" w:space="0" w:color="auto"/>
              <w:bottom w:val="single" w:sz="4" w:space="0" w:color="auto"/>
            </w:tcBorders>
          </w:tcPr>
          <w:p w14:paraId="7C0A1B60" w14:textId="649B54EF" w:rsidR="00170B8B" w:rsidRPr="008928F2" w:rsidRDefault="00260CFC" w:rsidP="008928F2">
            <w:pPr>
              <w:pStyle w:val="Table-Text"/>
            </w:pPr>
            <w:r w:rsidRPr="008928F2">
              <w:t>DHS</w:t>
            </w:r>
          </w:p>
        </w:tc>
        <w:tc>
          <w:tcPr>
            <w:tcW w:w="2303" w:type="dxa"/>
            <w:tcBorders>
              <w:top w:val="single" w:sz="4" w:space="0" w:color="auto"/>
              <w:bottom w:val="single" w:sz="4" w:space="0" w:color="auto"/>
            </w:tcBorders>
          </w:tcPr>
          <w:p w14:paraId="6234F3A5" w14:textId="1697EC3B" w:rsidR="00170B8B" w:rsidRPr="008928F2" w:rsidRDefault="00170B8B" w:rsidP="008928F2">
            <w:pPr>
              <w:pStyle w:val="Table-Text"/>
            </w:pPr>
            <w:r w:rsidRPr="008928F2">
              <w:t xml:space="preserve"> </w:t>
            </w:r>
            <w:r w:rsidR="00193765" w:rsidRPr="008928F2">
              <w:t>30 June 2021</w:t>
            </w:r>
          </w:p>
        </w:tc>
        <w:tc>
          <w:tcPr>
            <w:tcW w:w="2994" w:type="dxa"/>
            <w:tcBorders>
              <w:top w:val="single" w:sz="4" w:space="0" w:color="auto"/>
              <w:bottom w:val="single" w:sz="4" w:space="0" w:color="auto"/>
            </w:tcBorders>
          </w:tcPr>
          <w:p w14:paraId="4012B6AC" w14:textId="4AAC5D41" w:rsidR="00170B8B" w:rsidRPr="008928F2" w:rsidRDefault="00433021" w:rsidP="008928F2">
            <w:pPr>
              <w:pStyle w:val="Table-Text"/>
            </w:pPr>
            <w:r w:rsidRPr="008928F2">
              <w:t>Strategy</w:t>
            </w:r>
          </w:p>
        </w:tc>
      </w:tr>
      <w:tr w:rsidR="00170B8B" w:rsidRPr="008928F2" w14:paraId="28731EAD" w14:textId="2422A730" w:rsidTr="00A021D2">
        <w:tc>
          <w:tcPr>
            <w:tcW w:w="717" w:type="dxa"/>
            <w:tcBorders>
              <w:top w:val="single" w:sz="4" w:space="0" w:color="auto"/>
              <w:bottom w:val="single" w:sz="4" w:space="0" w:color="auto"/>
            </w:tcBorders>
            <w:shd w:val="clear" w:color="auto" w:fill="auto"/>
          </w:tcPr>
          <w:p w14:paraId="0953F1AF" w14:textId="70FB8F08" w:rsidR="00170B8B" w:rsidRPr="008928F2" w:rsidRDefault="00286927" w:rsidP="008928F2">
            <w:pPr>
              <w:pStyle w:val="Table-Text"/>
            </w:pPr>
            <w:r w:rsidRPr="008928F2">
              <w:t>3.</w:t>
            </w:r>
            <w:r w:rsidR="00C41C2C" w:rsidRPr="008928F2">
              <w:fldChar w:fldCharType="begin"/>
            </w:r>
            <w:r w:rsidR="00C41C2C" w:rsidRPr="008928F2">
              <w:instrText xml:space="preserve"> =MAX(Above)+1 </w:instrText>
            </w:r>
            <w:r w:rsidR="00C41C2C" w:rsidRPr="008928F2">
              <w:fldChar w:fldCharType="separate"/>
            </w:r>
            <w:r w:rsidR="00333587" w:rsidRPr="008928F2">
              <w:t>5</w:t>
            </w:r>
            <w:r w:rsidR="00C41C2C" w:rsidRPr="008928F2">
              <w:fldChar w:fldCharType="end"/>
            </w:r>
          </w:p>
        </w:tc>
        <w:tc>
          <w:tcPr>
            <w:tcW w:w="4207" w:type="dxa"/>
            <w:tcBorders>
              <w:top w:val="single" w:sz="4" w:space="0" w:color="auto"/>
              <w:bottom w:val="single" w:sz="4" w:space="0" w:color="auto"/>
            </w:tcBorders>
          </w:tcPr>
          <w:p w14:paraId="5F25C3C9" w14:textId="5BC7724F" w:rsidR="00170B8B" w:rsidRPr="008928F2" w:rsidRDefault="00A06186" w:rsidP="008928F2">
            <w:pPr>
              <w:pStyle w:val="Table-Text"/>
            </w:pPr>
            <w:r w:rsidRPr="008928F2">
              <w:t>I</w:t>
            </w:r>
            <w:r w:rsidR="007279A5" w:rsidRPr="008928F2">
              <w:t>ncrease shared accountability for information sharing, consistent approaches, identification of challenges and elimination of duplication</w:t>
            </w:r>
          </w:p>
        </w:tc>
        <w:tc>
          <w:tcPr>
            <w:tcW w:w="3077" w:type="dxa"/>
            <w:tcBorders>
              <w:top w:val="single" w:sz="4" w:space="0" w:color="auto"/>
              <w:bottom w:val="single" w:sz="4" w:space="0" w:color="auto"/>
            </w:tcBorders>
          </w:tcPr>
          <w:p w14:paraId="1A7427E9" w14:textId="77777777" w:rsidR="00170B8B" w:rsidRPr="008928F2" w:rsidRDefault="00E7409E" w:rsidP="008928F2">
            <w:pPr>
              <w:pStyle w:val="Table-Text"/>
            </w:pPr>
            <w:r w:rsidRPr="008928F2">
              <w:t>DCP</w:t>
            </w:r>
          </w:p>
          <w:p w14:paraId="6CBA3F2D" w14:textId="52106F59" w:rsidR="00E7409E" w:rsidRPr="008928F2" w:rsidRDefault="45E86F76" w:rsidP="008928F2">
            <w:pPr>
              <w:pStyle w:val="Table-Text"/>
            </w:pPr>
            <w:r w:rsidRPr="008928F2">
              <w:t>Education</w:t>
            </w:r>
          </w:p>
          <w:p w14:paraId="7EB21A37" w14:textId="77777777" w:rsidR="00E7409E" w:rsidRPr="008928F2" w:rsidRDefault="007D0CB1" w:rsidP="008928F2">
            <w:pPr>
              <w:pStyle w:val="Table-Text"/>
            </w:pPr>
            <w:r w:rsidRPr="008928F2">
              <w:t>DCS</w:t>
            </w:r>
          </w:p>
          <w:p w14:paraId="104DD4E4" w14:textId="77777777" w:rsidR="00170B8B" w:rsidRPr="008928F2" w:rsidRDefault="007D0CB1" w:rsidP="008928F2">
            <w:pPr>
              <w:pStyle w:val="Table-Text"/>
            </w:pPr>
            <w:r w:rsidRPr="008928F2">
              <w:t>SAPOL</w:t>
            </w:r>
          </w:p>
          <w:p w14:paraId="7910E95B" w14:textId="51D1F3DA" w:rsidR="007D0CB1" w:rsidRPr="008928F2" w:rsidRDefault="00261274" w:rsidP="008928F2">
            <w:pPr>
              <w:pStyle w:val="Table-Text"/>
            </w:pPr>
            <w:r w:rsidRPr="008928F2">
              <w:t>DHS</w:t>
            </w:r>
          </w:p>
        </w:tc>
        <w:tc>
          <w:tcPr>
            <w:tcW w:w="895" w:type="dxa"/>
            <w:tcBorders>
              <w:top w:val="single" w:sz="4" w:space="0" w:color="auto"/>
              <w:bottom w:val="single" w:sz="4" w:space="0" w:color="auto"/>
            </w:tcBorders>
          </w:tcPr>
          <w:p w14:paraId="5AE6DB3B" w14:textId="6EA930E0" w:rsidR="00170B8B" w:rsidRPr="008928F2" w:rsidRDefault="002E514F" w:rsidP="008928F2">
            <w:pPr>
              <w:pStyle w:val="Table-Text"/>
            </w:pPr>
            <w:r w:rsidRPr="008928F2">
              <w:t>Joint</w:t>
            </w:r>
          </w:p>
        </w:tc>
        <w:tc>
          <w:tcPr>
            <w:tcW w:w="2303" w:type="dxa"/>
            <w:tcBorders>
              <w:top w:val="single" w:sz="4" w:space="0" w:color="auto"/>
              <w:bottom w:val="single" w:sz="4" w:space="0" w:color="auto"/>
            </w:tcBorders>
          </w:tcPr>
          <w:p w14:paraId="55ED08D8" w14:textId="2AB8F19A" w:rsidR="00170B8B" w:rsidRPr="008928F2" w:rsidRDefault="00170B8B" w:rsidP="008928F2">
            <w:pPr>
              <w:pStyle w:val="Table-Text"/>
            </w:pPr>
            <w:r w:rsidRPr="008928F2">
              <w:t xml:space="preserve"> </w:t>
            </w:r>
            <w:r w:rsidR="000D30DB" w:rsidRPr="008928F2">
              <w:t>30 June 2021</w:t>
            </w:r>
          </w:p>
        </w:tc>
        <w:tc>
          <w:tcPr>
            <w:tcW w:w="2994" w:type="dxa"/>
            <w:tcBorders>
              <w:top w:val="single" w:sz="4" w:space="0" w:color="auto"/>
              <w:bottom w:val="single" w:sz="4" w:space="0" w:color="auto"/>
            </w:tcBorders>
          </w:tcPr>
          <w:p w14:paraId="6074AF9B" w14:textId="3E2D2469" w:rsidR="00170B8B" w:rsidRPr="008928F2" w:rsidRDefault="0089177E" w:rsidP="008928F2">
            <w:pPr>
              <w:pStyle w:val="Table-Text"/>
            </w:pPr>
            <w:r w:rsidRPr="0089177E">
              <w:t>Policy and Operational</w:t>
            </w:r>
          </w:p>
        </w:tc>
      </w:tr>
      <w:tr w:rsidR="00170B8B" w:rsidRPr="008928F2" w14:paraId="5E0DBFD1" w14:textId="51D960F1" w:rsidTr="00A021D2">
        <w:tc>
          <w:tcPr>
            <w:tcW w:w="717" w:type="dxa"/>
            <w:tcBorders>
              <w:top w:val="single" w:sz="4" w:space="0" w:color="auto"/>
              <w:bottom w:val="single" w:sz="4" w:space="0" w:color="auto"/>
            </w:tcBorders>
          </w:tcPr>
          <w:p w14:paraId="22E82F8E" w14:textId="26CE355B" w:rsidR="00170B8B" w:rsidRPr="008928F2" w:rsidRDefault="00286927" w:rsidP="008928F2">
            <w:pPr>
              <w:pStyle w:val="Table-Text"/>
            </w:pPr>
            <w:r w:rsidRPr="008928F2">
              <w:t>3.</w:t>
            </w:r>
            <w:r w:rsidR="00C41C2C" w:rsidRPr="008928F2">
              <w:fldChar w:fldCharType="begin"/>
            </w:r>
            <w:r w:rsidR="00C41C2C" w:rsidRPr="008928F2">
              <w:instrText xml:space="preserve"> =MAX(Above)+1 </w:instrText>
            </w:r>
            <w:r w:rsidR="00C41C2C" w:rsidRPr="008928F2">
              <w:fldChar w:fldCharType="separate"/>
            </w:r>
            <w:r w:rsidR="00333587" w:rsidRPr="008928F2">
              <w:t>6</w:t>
            </w:r>
            <w:r w:rsidR="00C41C2C" w:rsidRPr="008928F2">
              <w:fldChar w:fldCharType="end"/>
            </w:r>
          </w:p>
        </w:tc>
        <w:tc>
          <w:tcPr>
            <w:tcW w:w="4207" w:type="dxa"/>
            <w:tcBorders>
              <w:top w:val="single" w:sz="4" w:space="0" w:color="auto"/>
              <w:bottom w:val="single" w:sz="4" w:space="0" w:color="auto"/>
            </w:tcBorders>
          </w:tcPr>
          <w:p w14:paraId="4AB9BAA4" w14:textId="1E72FAC5" w:rsidR="00170B8B" w:rsidRPr="008928F2" w:rsidRDefault="00170B8B" w:rsidP="008928F2">
            <w:pPr>
              <w:pStyle w:val="Table-Text"/>
            </w:pPr>
            <w:r w:rsidRPr="008928F2">
              <w:t xml:space="preserve">Strengthen end-to-end case management and ensure the young </w:t>
            </w:r>
            <w:r w:rsidRPr="008928F2">
              <w:lastRenderedPageBreak/>
              <w:t>person’s voice is at the centre of assessment, planning and service delivery</w:t>
            </w:r>
          </w:p>
        </w:tc>
        <w:tc>
          <w:tcPr>
            <w:tcW w:w="3077" w:type="dxa"/>
            <w:tcBorders>
              <w:top w:val="single" w:sz="4" w:space="0" w:color="auto"/>
              <w:bottom w:val="single" w:sz="4" w:space="0" w:color="auto"/>
            </w:tcBorders>
          </w:tcPr>
          <w:p w14:paraId="29954732" w14:textId="77777777" w:rsidR="00170B8B" w:rsidRPr="008928F2" w:rsidRDefault="00731E3D" w:rsidP="008928F2">
            <w:pPr>
              <w:pStyle w:val="Table-Text"/>
            </w:pPr>
            <w:r w:rsidRPr="008928F2">
              <w:lastRenderedPageBreak/>
              <w:t>DCP</w:t>
            </w:r>
          </w:p>
          <w:p w14:paraId="4B75179A" w14:textId="77777777" w:rsidR="00FD2FA0" w:rsidRPr="008928F2" w:rsidRDefault="00FD2FA0" w:rsidP="008928F2">
            <w:pPr>
              <w:pStyle w:val="Table-Text"/>
            </w:pPr>
            <w:r w:rsidRPr="008928F2">
              <w:lastRenderedPageBreak/>
              <w:t>SA Health</w:t>
            </w:r>
          </w:p>
          <w:p w14:paraId="069EAF0C" w14:textId="74223622" w:rsidR="00170B8B" w:rsidRPr="008928F2" w:rsidRDefault="0B7E5243" w:rsidP="008928F2">
            <w:pPr>
              <w:pStyle w:val="Table-Text"/>
            </w:pPr>
            <w:r w:rsidRPr="008928F2">
              <w:t>Education</w:t>
            </w:r>
          </w:p>
          <w:p w14:paraId="65F52A0A" w14:textId="1B38C05A" w:rsidR="00170B8B" w:rsidRPr="008928F2" w:rsidRDefault="10D76468" w:rsidP="008928F2">
            <w:pPr>
              <w:pStyle w:val="Table-Text"/>
            </w:pPr>
            <w:r w:rsidRPr="008928F2">
              <w:t>Commissioner for Victims’ Rights</w:t>
            </w:r>
          </w:p>
        </w:tc>
        <w:tc>
          <w:tcPr>
            <w:tcW w:w="895" w:type="dxa"/>
            <w:tcBorders>
              <w:top w:val="single" w:sz="4" w:space="0" w:color="auto"/>
              <w:bottom w:val="single" w:sz="4" w:space="0" w:color="auto"/>
            </w:tcBorders>
          </w:tcPr>
          <w:p w14:paraId="05BDF33F" w14:textId="64EEA5C7" w:rsidR="00170B8B" w:rsidRPr="008928F2" w:rsidRDefault="008A159A" w:rsidP="008928F2">
            <w:pPr>
              <w:pStyle w:val="Table-Text"/>
            </w:pPr>
            <w:r>
              <w:lastRenderedPageBreak/>
              <w:t xml:space="preserve"> </w:t>
            </w:r>
            <w:r w:rsidR="00752660" w:rsidRPr="008928F2">
              <w:t>DHS</w:t>
            </w:r>
          </w:p>
        </w:tc>
        <w:tc>
          <w:tcPr>
            <w:tcW w:w="2303" w:type="dxa"/>
            <w:tcBorders>
              <w:top w:val="single" w:sz="4" w:space="0" w:color="auto"/>
              <w:bottom w:val="single" w:sz="4" w:space="0" w:color="auto"/>
            </w:tcBorders>
          </w:tcPr>
          <w:p w14:paraId="603B4387" w14:textId="2872E004" w:rsidR="00170B8B" w:rsidRPr="008928F2" w:rsidRDefault="00874980" w:rsidP="008928F2">
            <w:pPr>
              <w:pStyle w:val="Table-Text"/>
            </w:pPr>
            <w:r w:rsidRPr="008928F2">
              <w:t>30 June 202</w:t>
            </w:r>
            <w:r w:rsidR="00CF2E01" w:rsidRPr="008928F2">
              <w:t>2</w:t>
            </w:r>
          </w:p>
        </w:tc>
        <w:tc>
          <w:tcPr>
            <w:tcW w:w="2994" w:type="dxa"/>
            <w:tcBorders>
              <w:top w:val="single" w:sz="4" w:space="0" w:color="auto"/>
              <w:bottom w:val="single" w:sz="4" w:space="0" w:color="auto"/>
            </w:tcBorders>
          </w:tcPr>
          <w:p w14:paraId="1B68CFD3" w14:textId="14E7FF3F" w:rsidR="00170B8B" w:rsidRPr="008928F2" w:rsidRDefault="0089177E" w:rsidP="008928F2">
            <w:pPr>
              <w:pStyle w:val="Table-Text"/>
            </w:pPr>
            <w:r>
              <w:t>P</w:t>
            </w:r>
            <w:r w:rsidRPr="0089177E">
              <w:t>olicy and Operational</w:t>
            </w:r>
          </w:p>
        </w:tc>
      </w:tr>
      <w:tr w:rsidR="00925179" w:rsidRPr="008928F2" w14:paraId="220CF19E" w14:textId="77777777" w:rsidTr="00A021D2">
        <w:tc>
          <w:tcPr>
            <w:tcW w:w="717" w:type="dxa"/>
            <w:tcBorders>
              <w:top w:val="single" w:sz="4" w:space="0" w:color="auto"/>
              <w:bottom w:val="single" w:sz="4" w:space="0" w:color="auto"/>
            </w:tcBorders>
          </w:tcPr>
          <w:p w14:paraId="5F80A255" w14:textId="1FFA4C5A" w:rsidR="00925179" w:rsidRPr="008928F2" w:rsidRDefault="00286927" w:rsidP="008928F2">
            <w:pPr>
              <w:pStyle w:val="Table-Text"/>
            </w:pPr>
            <w:r w:rsidRPr="008928F2">
              <w:t>3.</w:t>
            </w:r>
            <w:r w:rsidR="00925179" w:rsidRPr="008928F2">
              <w:fldChar w:fldCharType="begin"/>
            </w:r>
            <w:r w:rsidR="00925179" w:rsidRPr="008928F2">
              <w:instrText xml:space="preserve"> =MAX(Above)+1 </w:instrText>
            </w:r>
            <w:r w:rsidR="00925179" w:rsidRPr="008928F2">
              <w:fldChar w:fldCharType="separate"/>
            </w:r>
            <w:r w:rsidR="00925179" w:rsidRPr="008928F2">
              <w:t>7</w:t>
            </w:r>
            <w:r w:rsidR="00925179" w:rsidRPr="008928F2">
              <w:fldChar w:fldCharType="end"/>
            </w:r>
          </w:p>
        </w:tc>
        <w:tc>
          <w:tcPr>
            <w:tcW w:w="4207" w:type="dxa"/>
            <w:tcBorders>
              <w:top w:val="single" w:sz="4" w:space="0" w:color="auto"/>
              <w:bottom w:val="single" w:sz="4" w:space="0" w:color="auto"/>
            </w:tcBorders>
          </w:tcPr>
          <w:p w14:paraId="64E082EC" w14:textId="538C1E90" w:rsidR="00925179" w:rsidRPr="008928F2" w:rsidRDefault="00925179" w:rsidP="008928F2">
            <w:pPr>
              <w:pStyle w:val="Table-Text"/>
            </w:pPr>
            <w:r w:rsidRPr="008928F2">
              <w:t>Further develop and market the Youth Justice Victims</w:t>
            </w:r>
            <w:r w:rsidR="009D6E7C" w:rsidRPr="008928F2">
              <w:t>’</w:t>
            </w:r>
            <w:r w:rsidRPr="008928F2">
              <w:t xml:space="preserve"> Register</w:t>
            </w:r>
          </w:p>
        </w:tc>
        <w:tc>
          <w:tcPr>
            <w:tcW w:w="3077" w:type="dxa"/>
            <w:tcBorders>
              <w:top w:val="single" w:sz="4" w:space="0" w:color="auto"/>
              <w:bottom w:val="single" w:sz="4" w:space="0" w:color="auto"/>
            </w:tcBorders>
          </w:tcPr>
          <w:p w14:paraId="7423C9BA" w14:textId="0EE61300" w:rsidR="00925179" w:rsidRPr="008928F2" w:rsidRDefault="007F1A73" w:rsidP="008928F2">
            <w:pPr>
              <w:pStyle w:val="Table-Text"/>
            </w:pPr>
            <w:r w:rsidRPr="008928F2">
              <w:t xml:space="preserve">Commissioner for </w:t>
            </w:r>
            <w:r w:rsidR="00925179" w:rsidRPr="008928F2">
              <w:t>Victims’ Rights Consultative Committee</w:t>
            </w:r>
          </w:p>
          <w:p w14:paraId="140B9518" w14:textId="415BA709" w:rsidR="00925179" w:rsidRPr="008928F2" w:rsidRDefault="00925179" w:rsidP="008928F2">
            <w:pPr>
              <w:pStyle w:val="Table-Text"/>
            </w:pPr>
            <w:r w:rsidRPr="008928F2">
              <w:t>CAA</w:t>
            </w:r>
          </w:p>
        </w:tc>
        <w:tc>
          <w:tcPr>
            <w:tcW w:w="895" w:type="dxa"/>
            <w:tcBorders>
              <w:top w:val="single" w:sz="4" w:space="0" w:color="auto"/>
              <w:bottom w:val="single" w:sz="4" w:space="0" w:color="auto"/>
            </w:tcBorders>
          </w:tcPr>
          <w:p w14:paraId="1B6368C7" w14:textId="5BC980EA" w:rsidR="00925179" w:rsidRPr="008928F2" w:rsidRDefault="00925179" w:rsidP="008928F2">
            <w:pPr>
              <w:pStyle w:val="Table-Text"/>
            </w:pPr>
            <w:r w:rsidRPr="008928F2">
              <w:t>DHS</w:t>
            </w:r>
          </w:p>
        </w:tc>
        <w:tc>
          <w:tcPr>
            <w:tcW w:w="2303" w:type="dxa"/>
            <w:tcBorders>
              <w:top w:val="single" w:sz="4" w:space="0" w:color="auto"/>
              <w:bottom w:val="single" w:sz="4" w:space="0" w:color="auto"/>
            </w:tcBorders>
          </w:tcPr>
          <w:p w14:paraId="4FB75077" w14:textId="489A9AC1" w:rsidR="00925179" w:rsidRPr="008928F2" w:rsidRDefault="00925179" w:rsidP="008928F2">
            <w:pPr>
              <w:pStyle w:val="Table-Text"/>
            </w:pPr>
            <w:r w:rsidRPr="008928F2">
              <w:t>31 December 2020</w:t>
            </w:r>
          </w:p>
        </w:tc>
        <w:tc>
          <w:tcPr>
            <w:tcW w:w="2994" w:type="dxa"/>
            <w:tcBorders>
              <w:top w:val="single" w:sz="4" w:space="0" w:color="auto"/>
              <w:bottom w:val="single" w:sz="4" w:space="0" w:color="auto"/>
            </w:tcBorders>
          </w:tcPr>
          <w:p w14:paraId="4696CB95" w14:textId="65516C1C" w:rsidR="00925179" w:rsidRPr="008928F2" w:rsidRDefault="00925179" w:rsidP="008928F2">
            <w:pPr>
              <w:pStyle w:val="Table-Text"/>
            </w:pPr>
            <w:r w:rsidRPr="008928F2">
              <w:t>Strategy, Policy and Operational</w:t>
            </w:r>
          </w:p>
        </w:tc>
      </w:tr>
      <w:tr w:rsidR="00550E8B" w:rsidRPr="008928F2" w14:paraId="624D362C" w14:textId="77777777" w:rsidTr="00A021D2">
        <w:tc>
          <w:tcPr>
            <w:tcW w:w="717" w:type="dxa"/>
            <w:tcBorders>
              <w:top w:val="single" w:sz="4" w:space="0" w:color="auto"/>
            </w:tcBorders>
          </w:tcPr>
          <w:p w14:paraId="2E96CB1E" w14:textId="744C5821" w:rsidR="00550E8B" w:rsidRPr="008928F2" w:rsidRDefault="00286927" w:rsidP="008928F2">
            <w:pPr>
              <w:pStyle w:val="Table-Text"/>
            </w:pPr>
            <w:r w:rsidRPr="008928F2">
              <w:t>3.</w:t>
            </w:r>
            <w:r w:rsidR="00550E8B" w:rsidRPr="008928F2">
              <w:fldChar w:fldCharType="begin"/>
            </w:r>
            <w:r w:rsidR="00550E8B" w:rsidRPr="008928F2">
              <w:instrText xml:space="preserve"> =MAX(Above)+1 </w:instrText>
            </w:r>
            <w:r w:rsidR="00550E8B" w:rsidRPr="008928F2">
              <w:fldChar w:fldCharType="separate"/>
            </w:r>
            <w:r w:rsidR="00550E8B" w:rsidRPr="008928F2">
              <w:t>8</w:t>
            </w:r>
            <w:r w:rsidR="00550E8B" w:rsidRPr="008928F2">
              <w:fldChar w:fldCharType="end"/>
            </w:r>
          </w:p>
        </w:tc>
        <w:tc>
          <w:tcPr>
            <w:tcW w:w="4207" w:type="dxa"/>
            <w:tcBorders>
              <w:top w:val="single" w:sz="4" w:space="0" w:color="auto"/>
            </w:tcBorders>
          </w:tcPr>
          <w:p w14:paraId="69FAFD36" w14:textId="0E7170A6" w:rsidR="00550E8B" w:rsidRPr="008928F2" w:rsidRDefault="009D6E7C" w:rsidP="008928F2">
            <w:pPr>
              <w:pStyle w:val="Table-Text"/>
            </w:pPr>
            <w:r w:rsidRPr="008928F2">
              <w:t xml:space="preserve">Increase accessibility of education for all children and young people in custody </w:t>
            </w:r>
          </w:p>
        </w:tc>
        <w:tc>
          <w:tcPr>
            <w:tcW w:w="3077" w:type="dxa"/>
            <w:tcBorders>
              <w:top w:val="single" w:sz="4" w:space="0" w:color="auto"/>
            </w:tcBorders>
          </w:tcPr>
          <w:p w14:paraId="45BB5102" w14:textId="77777777" w:rsidR="00550E8B" w:rsidRPr="008928F2" w:rsidRDefault="00550E8B" w:rsidP="008928F2">
            <w:pPr>
              <w:pStyle w:val="Table-Text"/>
            </w:pPr>
            <w:r w:rsidRPr="008928F2">
              <w:t>Education</w:t>
            </w:r>
          </w:p>
          <w:p w14:paraId="5CD0ED1D" w14:textId="422AA416" w:rsidR="00550E8B" w:rsidRPr="008928F2" w:rsidRDefault="00550E8B" w:rsidP="008928F2">
            <w:pPr>
              <w:pStyle w:val="Table-Text"/>
            </w:pPr>
            <w:r w:rsidRPr="008928F2">
              <w:t>Aboriginal Communities</w:t>
            </w:r>
          </w:p>
        </w:tc>
        <w:tc>
          <w:tcPr>
            <w:tcW w:w="895" w:type="dxa"/>
            <w:tcBorders>
              <w:top w:val="single" w:sz="4" w:space="0" w:color="auto"/>
            </w:tcBorders>
          </w:tcPr>
          <w:p w14:paraId="56254BF9" w14:textId="67E5044D" w:rsidR="00550E8B" w:rsidRPr="008928F2" w:rsidRDefault="00966DC9" w:rsidP="008928F2">
            <w:pPr>
              <w:pStyle w:val="Table-Text"/>
            </w:pPr>
            <w:r w:rsidRPr="008928F2">
              <w:t>DHS</w:t>
            </w:r>
          </w:p>
        </w:tc>
        <w:tc>
          <w:tcPr>
            <w:tcW w:w="2303" w:type="dxa"/>
            <w:tcBorders>
              <w:top w:val="single" w:sz="4" w:space="0" w:color="auto"/>
            </w:tcBorders>
          </w:tcPr>
          <w:p w14:paraId="6FE07282" w14:textId="5A02880C" w:rsidR="00550E8B" w:rsidRPr="008928F2" w:rsidRDefault="00550E8B" w:rsidP="008928F2">
            <w:pPr>
              <w:pStyle w:val="Table-Text"/>
            </w:pPr>
            <w:r w:rsidRPr="008928F2">
              <w:t>30 June 2021</w:t>
            </w:r>
          </w:p>
        </w:tc>
        <w:tc>
          <w:tcPr>
            <w:tcW w:w="2994" w:type="dxa"/>
            <w:tcBorders>
              <w:top w:val="single" w:sz="4" w:space="0" w:color="auto"/>
            </w:tcBorders>
          </w:tcPr>
          <w:p w14:paraId="1095EA61" w14:textId="1866CFB9" w:rsidR="00550E8B" w:rsidRPr="008928F2" w:rsidRDefault="00550E8B" w:rsidP="008928F2">
            <w:pPr>
              <w:pStyle w:val="Table-Text"/>
            </w:pPr>
            <w:r w:rsidRPr="008928F2">
              <w:t>Strategy, Policy and Operational</w:t>
            </w:r>
          </w:p>
        </w:tc>
      </w:tr>
    </w:tbl>
    <w:p w14:paraId="141DFAB9" w14:textId="141E8398" w:rsidR="00635705" w:rsidRDefault="00B40F25" w:rsidP="004E784C">
      <w:pPr>
        <w:pStyle w:val="Heading3"/>
      </w:pPr>
      <w:r>
        <w:rPr>
          <w:rFonts w:eastAsia="Calibri" w:cstheme="minorHAnsi"/>
        </w:rPr>
        <w:t xml:space="preserve">4. </w:t>
      </w:r>
      <w:r w:rsidR="00635705" w:rsidRPr="00286927">
        <w:rPr>
          <w:rFonts w:eastAsia="Calibri" w:cstheme="minorHAnsi"/>
        </w:rPr>
        <w:t>Aboriginal cultural connection – We</w:t>
      </w:r>
      <w:r w:rsidR="00635705" w:rsidRPr="00286927">
        <w:rPr>
          <w:rStyle w:val="normaltextrun"/>
          <w:rFonts w:cstheme="minorHAnsi"/>
          <w:i/>
          <w:iCs/>
        </w:rPr>
        <w:t xml:space="preserve"> will</w:t>
      </w:r>
      <w:r w:rsidR="00635705" w:rsidRPr="00286927">
        <w:rPr>
          <w:rStyle w:val="normaltextrun"/>
          <w:i/>
          <w:iCs/>
        </w:rPr>
        <w:t xml:space="preserve"> ensure the voices of Aboriginal communities inform and promote strong connection to family, communities, culture, country and language.</w:t>
      </w:r>
    </w:p>
    <w:tbl>
      <w:tblPr>
        <w:tblW w:w="14193" w:type="dxa"/>
        <w:tblLayout w:type="fixed"/>
        <w:tblLook w:val="04A0" w:firstRow="1" w:lastRow="0" w:firstColumn="1" w:lastColumn="0" w:noHBand="0" w:noVBand="1"/>
      </w:tblPr>
      <w:tblGrid>
        <w:gridCol w:w="716"/>
        <w:gridCol w:w="4198"/>
        <w:gridCol w:w="3071"/>
        <w:gridCol w:w="893"/>
        <w:gridCol w:w="2291"/>
        <w:gridCol w:w="3024"/>
      </w:tblGrid>
      <w:tr w:rsidR="00635705" w:rsidRPr="008928F2" w14:paraId="56F68569" w14:textId="77777777" w:rsidTr="00A021D2">
        <w:trPr>
          <w:tblHeader/>
        </w:trPr>
        <w:tc>
          <w:tcPr>
            <w:tcW w:w="709" w:type="dxa"/>
            <w:tcBorders>
              <w:bottom w:val="single" w:sz="4" w:space="0" w:color="auto"/>
            </w:tcBorders>
            <w:shd w:val="clear" w:color="auto" w:fill="F2F2F2" w:themeFill="background1" w:themeFillShade="F2"/>
          </w:tcPr>
          <w:p w14:paraId="025F8890" w14:textId="77777777" w:rsidR="00635705" w:rsidRPr="008928F2" w:rsidRDefault="00635705" w:rsidP="008928F2">
            <w:pPr>
              <w:pStyle w:val="Table-Header"/>
            </w:pPr>
            <w:r w:rsidRPr="008928F2">
              <w:t>#</w:t>
            </w:r>
          </w:p>
        </w:tc>
        <w:tc>
          <w:tcPr>
            <w:tcW w:w="4156" w:type="dxa"/>
            <w:tcBorders>
              <w:bottom w:val="single" w:sz="4" w:space="0" w:color="auto"/>
            </w:tcBorders>
            <w:shd w:val="clear" w:color="auto" w:fill="F2F2F2" w:themeFill="background1" w:themeFillShade="F2"/>
          </w:tcPr>
          <w:p w14:paraId="2606A141" w14:textId="77777777" w:rsidR="00635705" w:rsidRPr="008928F2" w:rsidRDefault="00635705" w:rsidP="008928F2">
            <w:pPr>
              <w:pStyle w:val="Table-Header"/>
            </w:pPr>
            <w:r w:rsidRPr="008928F2">
              <w:t>Project</w:t>
            </w:r>
          </w:p>
        </w:tc>
        <w:tc>
          <w:tcPr>
            <w:tcW w:w="3040" w:type="dxa"/>
            <w:tcBorders>
              <w:bottom w:val="single" w:sz="4" w:space="0" w:color="auto"/>
            </w:tcBorders>
            <w:shd w:val="clear" w:color="auto" w:fill="F2F2F2" w:themeFill="background1" w:themeFillShade="F2"/>
          </w:tcPr>
          <w:p w14:paraId="67650325" w14:textId="77777777" w:rsidR="00635705" w:rsidRPr="008928F2" w:rsidRDefault="00635705" w:rsidP="008928F2">
            <w:pPr>
              <w:pStyle w:val="Table-Header"/>
            </w:pPr>
            <w:r w:rsidRPr="008928F2">
              <w:t>Partners</w:t>
            </w:r>
          </w:p>
        </w:tc>
        <w:tc>
          <w:tcPr>
            <w:tcW w:w="884" w:type="dxa"/>
            <w:tcBorders>
              <w:bottom w:val="single" w:sz="4" w:space="0" w:color="auto"/>
            </w:tcBorders>
            <w:shd w:val="clear" w:color="auto" w:fill="F2F2F2" w:themeFill="background1" w:themeFillShade="F2"/>
          </w:tcPr>
          <w:p w14:paraId="29368CB1" w14:textId="77777777" w:rsidR="00635705" w:rsidRPr="008928F2" w:rsidRDefault="00635705" w:rsidP="008928F2">
            <w:pPr>
              <w:pStyle w:val="Table-Header"/>
            </w:pPr>
            <w:r w:rsidRPr="008928F2">
              <w:t>Lead</w:t>
            </w:r>
          </w:p>
        </w:tc>
        <w:tc>
          <w:tcPr>
            <w:tcW w:w="2268" w:type="dxa"/>
            <w:tcBorders>
              <w:bottom w:val="single" w:sz="4" w:space="0" w:color="auto"/>
            </w:tcBorders>
            <w:shd w:val="clear" w:color="auto" w:fill="F2F2F2" w:themeFill="background1" w:themeFillShade="F2"/>
          </w:tcPr>
          <w:p w14:paraId="2CC02B82" w14:textId="77777777" w:rsidR="00635705" w:rsidRPr="008928F2" w:rsidRDefault="00635705" w:rsidP="008928F2">
            <w:pPr>
              <w:pStyle w:val="Table-Header"/>
            </w:pPr>
            <w:r w:rsidRPr="008928F2">
              <w:t>Timeframe</w:t>
            </w:r>
          </w:p>
        </w:tc>
        <w:tc>
          <w:tcPr>
            <w:tcW w:w="2994" w:type="dxa"/>
            <w:tcBorders>
              <w:bottom w:val="single" w:sz="4" w:space="0" w:color="auto"/>
            </w:tcBorders>
            <w:shd w:val="clear" w:color="auto" w:fill="F2F2F2" w:themeFill="background1" w:themeFillShade="F2"/>
          </w:tcPr>
          <w:p w14:paraId="6351DF75" w14:textId="77777777" w:rsidR="00635705" w:rsidRPr="008928F2" w:rsidRDefault="00635705" w:rsidP="008928F2">
            <w:pPr>
              <w:pStyle w:val="Table-Header"/>
            </w:pPr>
            <w:r w:rsidRPr="008928F2">
              <w:t>Strategy / Policy / Operational</w:t>
            </w:r>
          </w:p>
        </w:tc>
      </w:tr>
      <w:tr w:rsidR="00170B8B" w:rsidRPr="008928F2" w14:paraId="341C1098" w14:textId="0CD27B61" w:rsidTr="00A021D2">
        <w:tc>
          <w:tcPr>
            <w:tcW w:w="709" w:type="dxa"/>
            <w:tcBorders>
              <w:bottom w:val="single" w:sz="4" w:space="0" w:color="auto"/>
            </w:tcBorders>
          </w:tcPr>
          <w:p w14:paraId="5E3BF87A" w14:textId="51A13CAC" w:rsidR="00170B8B" w:rsidRPr="008928F2" w:rsidRDefault="00286927" w:rsidP="008928F2">
            <w:pPr>
              <w:pStyle w:val="Table-Text"/>
            </w:pPr>
            <w:r w:rsidRPr="008928F2">
              <w:t>4.</w:t>
            </w:r>
            <w:r w:rsidR="00333587" w:rsidRPr="008928F2">
              <w:t>1</w:t>
            </w:r>
          </w:p>
        </w:tc>
        <w:tc>
          <w:tcPr>
            <w:tcW w:w="4156" w:type="dxa"/>
            <w:tcBorders>
              <w:bottom w:val="single" w:sz="4" w:space="0" w:color="auto"/>
            </w:tcBorders>
          </w:tcPr>
          <w:p w14:paraId="130E43CD" w14:textId="01FDFF9C" w:rsidR="00170B8B" w:rsidRPr="008928F2" w:rsidRDefault="00170B8B" w:rsidP="008928F2">
            <w:pPr>
              <w:pStyle w:val="Table-Text"/>
            </w:pPr>
            <w:r w:rsidRPr="008928F2">
              <w:t xml:space="preserve">Support Aboriginal children and young people to identify their own cultural pathways </w:t>
            </w:r>
          </w:p>
        </w:tc>
        <w:tc>
          <w:tcPr>
            <w:tcW w:w="3040" w:type="dxa"/>
            <w:tcBorders>
              <w:bottom w:val="single" w:sz="4" w:space="0" w:color="auto"/>
            </w:tcBorders>
          </w:tcPr>
          <w:p w14:paraId="551C786C" w14:textId="1AFD4AE7" w:rsidR="00170B8B" w:rsidRPr="008928F2" w:rsidRDefault="006E52CF" w:rsidP="008928F2">
            <w:pPr>
              <w:pStyle w:val="Table-Text"/>
            </w:pPr>
            <w:r w:rsidRPr="008928F2">
              <w:t>MAYFS</w:t>
            </w:r>
          </w:p>
        </w:tc>
        <w:tc>
          <w:tcPr>
            <w:tcW w:w="884" w:type="dxa"/>
            <w:tcBorders>
              <w:bottom w:val="single" w:sz="4" w:space="0" w:color="auto"/>
            </w:tcBorders>
          </w:tcPr>
          <w:p w14:paraId="0B2E2351" w14:textId="29E73042" w:rsidR="00170B8B" w:rsidRPr="008928F2" w:rsidRDefault="006E52CF" w:rsidP="008928F2">
            <w:pPr>
              <w:pStyle w:val="Table-Text"/>
            </w:pPr>
            <w:r w:rsidRPr="008928F2">
              <w:t>DHS</w:t>
            </w:r>
          </w:p>
        </w:tc>
        <w:tc>
          <w:tcPr>
            <w:tcW w:w="2268" w:type="dxa"/>
            <w:tcBorders>
              <w:bottom w:val="single" w:sz="4" w:space="0" w:color="auto"/>
            </w:tcBorders>
          </w:tcPr>
          <w:p w14:paraId="3DAF695F" w14:textId="6569661F" w:rsidR="00170B8B" w:rsidRPr="008928F2" w:rsidRDefault="00FE24FC" w:rsidP="008928F2">
            <w:pPr>
              <w:pStyle w:val="Table-Text"/>
            </w:pPr>
            <w:r w:rsidRPr="008928F2">
              <w:t>31 December 2020</w:t>
            </w:r>
          </w:p>
        </w:tc>
        <w:tc>
          <w:tcPr>
            <w:tcW w:w="2994" w:type="dxa"/>
            <w:tcBorders>
              <w:bottom w:val="single" w:sz="4" w:space="0" w:color="auto"/>
            </w:tcBorders>
          </w:tcPr>
          <w:p w14:paraId="01D3F0BD" w14:textId="3CABC656" w:rsidR="00170B8B" w:rsidRPr="008928F2" w:rsidRDefault="0089177E" w:rsidP="008928F2">
            <w:pPr>
              <w:pStyle w:val="Table-Text"/>
            </w:pPr>
            <w:r w:rsidRPr="0089177E">
              <w:t>Operational</w:t>
            </w:r>
          </w:p>
        </w:tc>
      </w:tr>
      <w:tr w:rsidR="00170B8B" w:rsidRPr="008928F2" w14:paraId="49725DEF" w14:textId="2845E2C4" w:rsidTr="00A021D2">
        <w:tc>
          <w:tcPr>
            <w:tcW w:w="709" w:type="dxa"/>
            <w:tcBorders>
              <w:top w:val="single" w:sz="4" w:space="0" w:color="auto"/>
              <w:bottom w:val="single" w:sz="4" w:space="0" w:color="auto"/>
            </w:tcBorders>
          </w:tcPr>
          <w:p w14:paraId="2532EEFF" w14:textId="1B18830E" w:rsidR="00170B8B" w:rsidRPr="008928F2" w:rsidRDefault="00286927" w:rsidP="008928F2">
            <w:pPr>
              <w:pStyle w:val="Table-Text"/>
            </w:pPr>
            <w:r w:rsidRPr="008928F2">
              <w:t>4.</w:t>
            </w:r>
            <w:r w:rsidR="00C41C2C" w:rsidRPr="008928F2">
              <w:fldChar w:fldCharType="begin"/>
            </w:r>
            <w:r w:rsidR="00C41C2C" w:rsidRPr="008928F2">
              <w:instrText xml:space="preserve"> =MAX(Above)+1 </w:instrText>
            </w:r>
            <w:r w:rsidR="00C41C2C" w:rsidRPr="008928F2">
              <w:fldChar w:fldCharType="separate"/>
            </w:r>
            <w:r w:rsidR="00333587" w:rsidRPr="008928F2">
              <w:t>2</w:t>
            </w:r>
            <w:r w:rsidR="00C41C2C" w:rsidRPr="008928F2">
              <w:fldChar w:fldCharType="end"/>
            </w:r>
          </w:p>
        </w:tc>
        <w:tc>
          <w:tcPr>
            <w:tcW w:w="4156" w:type="dxa"/>
            <w:tcBorders>
              <w:top w:val="single" w:sz="4" w:space="0" w:color="auto"/>
              <w:bottom w:val="single" w:sz="4" w:space="0" w:color="auto"/>
            </w:tcBorders>
          </w:tcPr>
          <w:p w14:paraId="55A61AB1" w14:textId="19EA5071" w:rsidR="00170B8B" w:rsidRPr="008928F2" w:rsidRDefault="00170B8B" w:rsidP="008928F2">
            <w:pPr>
              <w:pStyle w:val="Table-Text"/>
            </w:pPr>
            <w:r w:rsidRPr="008928F2">
              <w:t xml:space="preserve">Finalise the Youth Justice Aboriginal Engagement Plan </w:t>
            </w:r>
          </w:p>
        </w:tc>
        <w:tc>
          <w:tcPr>
            <w:tcW w:w="3040" w:type="dxa"/>
            <w:tcBorders>
              <w:top w:val="single" w:sz="4" w:space="0" w:color="auto"/>
              <w:bottom w:val="single" w:sz="4" w:space="0" w:color="auto"/>
            </w:tcBorders>
          </w:tcPr>
          <w:p w14:paraId="22CCF884" w14:textId="77777777" w:rsidR="00170B8B" w:rsidRPr="008928F2" w:rsidRDefault="0006462A" w:rsidP="008928F2">
            <w:pPr>
              <w:pStyle w:val="Table-Text"/>
            </w:pPr>
            <w:r w:rsidRPr="008928F2">
              <w:t>YJAAC</w:t>
            </w:r>
          </w:p>
          <w:p w14:paraId="698DDF04" w14:textId="3EAB9931" w:rsidR="00CA034F" w:rsidRPr="008928F2" w:rsidRDefault="00CA034F" w:rsidP="008928F2">
            <w:pPr>
              <w:pStyle w:val="Table-Text"/>
            </w:pPr>
            <w:r w:rsidRPr="008928F2">
              <w:t>Aboriginal Communities</w:t>
            </w:r>
          </w:p>
        </w:tc>
        <w:tc>
          <w:tcPr>
            <w:tcW w:w="884" w:type="dxa"/>
            <w:tcBorders>
              <w:top w:val="single" w:sz="4" w:space="0" w:color="auto"/>
              <w:bottom w:val="single" w:sz="4" w:space="0" w:color="auto"/>
            </w:tcBorders>
          </w:tcPr>
          <w:p w14:paraId="0BD2FCF7" w14:textId="79E1A9B0" w:rsidR="00170B8B" w:rsidRPr="008928F2" w:rsidRDefault="0006462A" w:rsidP="008928F2">
            <w:pPr>
              <w:pStyle w:val="Table-Text"/>
            </w:pPr>
            <w:r w:rsidRPr="008928F2">
              <w:t>DHS</w:t>
            </w:r>
          </w:p>
        </w:tc>
        <w:tc>
          <w:tcPr>
            <w:tcW w:w="2268" w:type="dxa"/>
            <w:tcBorders>
              <w:top w:val="single" w:sz="4" w:space="0" w:color="auto"/>
              <w:bottom w:val="single" w:sz="4" w:space="0" w:color="auto"/>
            </w:tcBorders>
          </w:tcPr>
          <w:p w14:paraId="2D24BA70" w14:textId="70A48B69" w:rsidR="00170B8B" w:rsidRPr="008928F2" w:rsidRDefault="00465557" w:rsidP="008928F2">
            <w:pPr>
              <w:pStyle w:val="Table-Text"/>
            </w:pPr>
            <w:r w:rsidRPr="008928F2">
              <w:t>3</w:t>
            </w:r>
            <w:r w:rsidR="00A021D2">
              <w:t>1</w:t>
            </w:r>
            <w:r w:rsidRPr="008928F2">
              <w:t xml:space="preserve"> </w:t>
            </w:r>
            <w:r w:rsidR="006E0AC8" w:rsidRPr="008928F2">
              <w:t xml:space="preserve">December </w:t>
            </w:r>
            <w:r w:rsidRPr="008928F2">
              <w:t>2021</w:t>
            </w:r>
          </w:p>
        </w:tc>
        <w:tc>
          <w:tcPr>
            <w:tcW w:w="2994" w:type="dxa"/>
            <w:tcBorders>
              <w:top w:val="single" w:sz="4" w:space="0" w:color="auto"/>
              <w:bottom w:val="single" w:sz="4" w:space="0" w:color="auto"/>
            </w:tcBorders>
          </w:tcPr>
          <w:p w14:paraId="1C19361F" w14:textId="4223113C" w:rsidR="00170B8B" w:rsidRPr="008928F2" w:rsidRDefault="00465557" w:rsidP="008928F2">
            <w:pPr>
              <w:pStyle w:val="Table-Text"/>
            </w:pPr>
            <w:r w:rsidRPr="008928F2">
              <w:t>Strategy</w:t>
            </w:r>
          </w:p>
        </w:tc>
      </w:tr>
      <w:tr w:rsidR="00170B8B" w:rsidRPr="008928F2" w14:paraId="4937719A" w14:textId="288C848D" w:rsidTr="00A021D2">
        <w:tc>
          <w:tcPr>
            <w:tcW w:w="709" w:type="dxa"/>
            <w:tcBorders>
              <w:top w:val="single" w:sz="4" w:space="0" w:color="auto"/>
              <w:bottom w:val="single" w:sz="4" w:space="0" w:color="auto"/>
            </w:tcBorders>
          </w:tcPr>
          <w:p w14:paraId="50A551C6" w14:textId="42130B32" w:rsidR="00170B8B" w:rsidRPr="008928F2" w:rsidRDefault="00286927" w:rsidP="008928F2">
            <w:pPr>
              <w:pStyle w:val="Table-Text"/>
            </w:pPr>
            <w:r w:rsidRPr="008928F2">
              <w:lastRenderedPageBreak/>
              <w:t>4.</w:t>
            </w:r>
            <w:r w:rsidR="00C41C2C" w:rsidRPr="008928F2">
              <w:fldChar w:fldCharType="begin"/>
            </w:r>
            <w:r w:rsidR="00C41C2C" w:rsidRPr="008928F2">
              <w:instrText xml:space="preserve"> =MAX(Above)+1 </w:instrText>
            </w:r>
            <w:r w:rsidR="00C41C2C" w:rsidRPr="008928F2">
              <w:fldChar w:fldCharType="separate"/>
            </w:r>
            <w:r w:rsidR="00333587" w:rsidRPr="008928F2">
              <w:t>3</w:t>
            </w:r>
            <w:r w:rsidR="00C41C2C" w:rsidRPr="008928F2">
              <w:fldChar w:fldCharType="end"/>
            </w:r>
          </w:p>
        </w:tc>
        <w:tc>
          <w:tcPr>
            <w:tcW w:w="4156" w:type="dxa"/>
            <w:tcBorders>
              <w:top w:val="single" w:sz="4" w:space="0" w:color="auto"/>
              <w:bottom w:val="single" w:sz="4" w:space="0" w:color="auto"/>
            </w:tcBorders>
          </w:tcPr>
          <w:p w14:paraId="1C62577E" w14:textId="1CF4F272" w:rsidR="00170B8B" w:rsidRPr="008928F2" w:rsidRDefault="4A7CE2A3" w:rsidP="008928F2">
            <w:pPr>
              <w:pStyle w:val="Table-Text"/>
            </w:pPr>
            <w:r w:rsidRPr="008928F2">
              <w:t xml:space="preserve">Deliver an Elders visiting program in </w:t>
            </w:r>
            <w:r w:rsidR="00CB0789" w:rsidRPr="5BB17B76">
              <w:t>Kurlana Tapa Youth Justice Centre</w:t>
            </w:r>
            <w:r w:rsidRPr="008928F2">
              <w:t xml:space="preserve"> and explore a community-based equivalent</w:t>
            </w:r>
          </w:p>
        </w:tc>
        <w:tc>
          <w:tcPr>
            <w:tcW w:w="3040" w:type="dxa"/>
            <w:tcBorders>
              <w:top w:val="single" w:sz="4" w:space="0" w:color="auto"/>
              <w:bottom w:val="single" w:sz="4" w:space="0" w:color="auto"/>
            </w:tcBorders>
          </w:tcPr>
          <w:p w14:paraId="3A795CB3" w14:textId="77777777" w:rsidR="00170B8B" w:rsidRPr="008928F2" w:rsidRDefault="008B2A79" w:rsidP="008928F2">
            <w:pPr>
              <w:pStyle w:val="Table-Text"/>
            </w:pPr>
            <w:r w:rsidRPr="008928F2">
              <w:t>DCS</w:t>
            </w:r>
          </w:p>
          <w:p w14:paraId="56B772DB" w14:textId="77777777" w:rsidR="008B2A79" w:rsidRPr="008928F2" w:rsidRDefault="008B2A79" w:rsidP="008928F2">
            <w:pPr>
              <w:pStyle w:val="Table-Text"/>
            </w:pPr>
            <w:r w:rsidRPr="008928F2">
              <w:t>DCP</w:t>
            </w:r>
          </w:p>
          <w:p w14:paraId="7FDE5EAA" w14:textId="77777777" w:rsidR="00F916F8" w:rsidRPr="008928F2" w:rsidRDefault="00F916F8" w:rsidP="008928F2">
            <w:pPr>
              <w:pStyle w:val="Table-Text"/>
            </w:pPr>
            <w:r w:rsidRPr="008928F2">
              <w:t>Education</w:t>
            </w:r>
          </w:p>
          <w:p w14:paraId="295CFF81" w14:textId="00A4CE64" w:rsidR="00170B8B" w:rsidRPr="008928F2" w:rsidRDefault="00F916F8" w:rsidP="008928F2">
            <w:pPr>
              <w:pStyle w:val="Table-Text"/>
            </w:pPr>
            <w:r w:rsidRPr="008928F2">
              <w:t>Aboriginal Communit</w:t>
            </w:r>
            <w:r w:rsidR="0059464F" w:rsidRPr="008928F2">
              <w:t>ies</w:t>
            </w:r>
          </w:p>
        </w:tc>
        <w:tc>
          <w:tcPr>
            <w:tcW w:w="884" w:type="dxa"/>
            <w:tcBorders>
              <w:top w:val="single" w:sz="4" w:space="0" w:color="auto"/>
              <w:bottom w:val="single" w:sz="4" w:space="0" w:color="auto"/>
            </w:tcBorders>
          </w:tcPr>
          <w:p w14:paraId="3FC03E45" w14:textId="3B710FFD" w:rsidR="00170B8B" w:rsidRPr="008928F2" w:rsidRDefault="00F916F8" w:rsidP="008928F2">
            <w:pPr>
              <w:pStyle w:val="Table-Text"/>
            </w:pPr>
            <w:r w:rsidRPr="008928F2">
              <w:t>DHS</w:t>
            </w:r>
          </w:p>
        </w:tc>
        <w:tc>
          <w:tcPr>
            <w:tcW w:w="2268" w:type="dxa"/>
            <w:tcBorders>
              <w:top w:val="single" w:sz="4" w:space="0" w:color="auto"/>
              <w:bottom w:val="single" w:sz="4" w:space="0" w:color="auto"/>
            </w:tcBorders>
          </w:tcPr>
          <w:p w14:paraId="61A16B09" w14:textId="1446A94D" w:rsidR="00170B8B" w:rsidRPr="008928F2" w:rsidRDefault="00A3163F" w:rsidP="008928F2">
            <w:pPr>
              <w:pStyle w:val="Table-Text"/>
            </w:pPr>
            <w:r w:rsidRPr="008928F2">
              <w:t>31 December 2021</w:t>
            </w:r>
          </w:p>
        </w:tc>
        <w:tc>
          <w:tcPr>
            <w:tcW w:w="2994" w:type="dxa"/>
            <w:tcBorders>
              <w:top w:val="single" w:sz="4" w:space="0" w:color="auto"/>
              <w:bottom w:val="single" w:sz="4" w:space="0" w:color="auto"/>
            </w:tcBorders>
          </w:tcPr>
          <w:p w14:paraId="31C5CB66" w14:textId="04447BE3" w:rsidR="00170B8B" w:rsidRPr="008928F2" w:rsidRDefault="0089177E" w:rsidP="008928F2">
            <w:pPr>
              <w:pStyle w:val="Table-Text"/>
            </w:pPr>
            <w:r w:rsidRPr="0089177E">
              <w:t>Operational</w:t>
            </w:r>
          </w:p>
        </w:tc>
      </w:tr>
      <w:tr w:rsidR="00170B8B" w:rsidRPr="008928F2" w14:paraId="749AEC18" w14:textId="1A1A4666" w:rsidTr="00A021D2">
        <w:tc>
          <w:tcPr>
            <w:tcW w:w="709" w:type="dxa"/>
            <w:tcBorders>
              <w:top w:val="single" w:sz="4" w:space="0" w:color="auto"/>
              <w:bottom w:val="single" w:sz="4" w:space="0" w:color="auto"/>
            </w:tcBorders>
          </w:tcPr>
          <w:p w14:paraId="3AB66D26" w14:textId="19744B7B" w:rsidR="00170B8B" w:rsidRPr="008928F2" w:rsidRDefault="00286927" w:rsidP="008928F2">
            <w:pPr>
              <w:pStyle w:val="Table-Text"/>
            </w:pPr>
            <w:r w:rsidRPr="008928F2">
              <w:t>4.</w:t>
            </w:r>
            <w:r w:rsidR="00C41C2C" w:rsidRPr="008928F2">
              <w:fldChar w:fldCharType="begin"/>
            </w:r>
            <w:r w:rsidR="00C41C2C" w:rsidRPr="008928F2">
              <w:instrText xml:space="preserve"> =MAX(Above)+1 </w:instrText>
            </w:r>
            <w:r w:rsidR="00C41C2C" w:rsidRPr="008928F2">
              <w:fldChar w:fldCharType="separate"/>
            </w:r>
            <w:r w:rsidR="00333587" w:rsidRPr="008928F2">
              <w:t>4</w:t>
            </w:r>
            <w:r w:rsidR="00C41C2C" w:rsidRPr="008928F2">
              <w:fldChar w:fldCharType="end"/>
            </w:r>
          </w:p>
        </w:tc>
        <w:tc>
          <w:tcPr>
            <w:tcW w:w="4156" w:type="dxa"/>
            <w:tcBorders>
              <w:top w:val="single" w:sz="4" w:space="0" w:color="auto"/>
              <w:bottom w:val="single" w:sz="4" w:space="0" w:color="auto"/>
            </w:tcBorders>
          </w:tcPr>
          <w:p w14:paraId="36BD38AA" w14:textId="3740F502" w:rsidR="00170B8B" w:rsidRPr="008928F2" w:rsidRDefault="4BFA7DEB" w:rsidP="008928F2">
            <w:pPr>
              <w:pStyle w:val="Table-Text"/>
            </w:pPr>
            <w:r w:rsidRPr="008928F2">
              <w:t>D</w:t>
            </w:r>
            <w:r w:rsidR="09B15687" w:rsidRPr="008928F2">
              <w:t>esign and develop an Aboriginal cultural trail and cultural connection space at</w:t>
            </w:r>
            <w:r w:rsidR="00CB0789" w:rsidRPr="5BB17B76">
              <w:t xml:space="preserve"> Kurlana Tapa Youth Justice Centre</w:t>
            </w:r>
          </w:p>
        </w:tc>
        <w:tc>
          <w:tcPr>
            <w:tcW w:w="3040" w:type="dxa"/>
            <w:tcBorders>
              <w:top w:val="single" w:sz="4" w:space="0" w:color="auto"/>
              <w:bottom w:val="single" w:sz="4" w:space="0" w:color="auto"/>
            </w:tcBorders>
          </w:tcPr>
          <w:p w14:paraId="160B2B56" w14:textId="717EDF36" w:rsidR="00170B8B" w:rsidRPr="008928F2" w:rsidRDefault="00A021D2" w:rsidP="008928F2">
            <w:pPr>
              <w:pStyle w:val="Table-Text"/>
            </w:pPr>
            <w:r>
              <w:t>None</w:t>
            </w:r>
          </w:p>
        </w:tc>
        <w:tc>
          <w:tcPr>
            <w:tcW w:w="884" w:type="dxa"/>
            <w:tcBorders>
              <w:top w:val="single" w:sz="4" w:space="0" w:color="auto"/>
              <w:bottom w:val="single" w:sz="4" w:space="0" w:color="auto"/>
            </w:tcBorders>
          </w:tcPr>
          <w:p w14:paraId="2FA890E7" w14:textId="0D66B438" w:rsidR="00170B8B" w:rsidRPr="008928F2" w:rsidRDefault="007466FB" w:rsidP="008928F2">
            <w:pPr>
              <w:pStyle w:val="Table-Text"/>
            </w:pPr>
            <w:r w:rsidRPr="008928F2">
              <w:t>DHS</w:t>
            </w:r>
          </w:p>
        </w:tc>
        <w:tc>
          <w:tcPr>
            <w:tcW w:w="2268" w:type="dxa"/>
            <w:tcBorders>
              <w:top w:val="single" w:sz="4" w:space="0" w:color="auto"/>
              <w:bottom w:val="single" w:sz="4" w:space="0" w:color="auto"/>
            </w:tcBorders>
          </w:tcPr>
          <w:p w14:paraId="374685EA" w14:textId="7B432BFC" w:rsidR="00170B8B" w:rsidRPr="008928F2" w:rsidRDefault="00170B8B" w:rsidP="008928F2">
            <w:pPr>
              <w:pStyle w:val="Table-Text"/>
            </w:pPr>
            <w:r w:rsidRPr="008928F2">
              <w:t xml:space="preserve"> </w:t>
            </w:r>
            <w:r w:rsidR="00151FD9" w:rsidRPr="008928F2">
              <w:t>30 June 2020</w:t>
            </w:r>
          </w:p>
        </w:tc>
        <w:tc>
          <w:tcPr>
            <w:tcW w:w="2994" w:type="dxa"/>
            <w:tcBorders>
              <w:top w:val="single" w:sz="4" w:space="0" w:color="auto"/>
              <w:bottom w:val="single" w:sz="4" w:space="0" w:color="auto"/>
            </w:tcBorders>
          </w:tcPr>
          <w:p w14:paraId="7D0B771D" w14:textId="61A86D46" w:rsidR="00170B8B" w:rsidRPr="008928F2" w:rsidRDefault="00151FD9" w:rsidP="008928F2">
            <w:pPr>
              <w:pStyle w:val="Table-Text"/>
            </w:pPr>
            <w:r w:rsidRPr="008928F2">
              <w:t>Strategy</w:t>
            </w:r>
          </w:p>
        </w:tc>
      </w:tr>
      <w:tr w:rsidR="00170B8B" w:rsidRPr="008928F2" w14:paraId="152E532F" w14:textId="0AD2F211" w:rsidTr="00A021D2">
        <w:tc>
          <w:tcPr>
            <w:tcW w:w="709" w:type="dxa"/>
            <w:tcBorders>
              <w:top w:val="single" w:sz="4" w:space="0" w:color="auto"/>
              <w:bottom w:val="single" w:sz="4" w:space="0" w:color="auto"/>
            </w:tcBorders>
          </w:tcPr>
          <w:p w14:paraId="3DB8DE4D" w14:textId="62CB602A" w:rsidR="00170B8B" w:rsidRPr="008928F2" w:rsidRDefault="00286927" w:rsidP="008928F2">
            <w:pPr>
              <w:pStyle w:val="Table-Text"/>
            </w:pPr>
            <w:r w:rsidRPr="008928F2">
              <w:t>4.</w:t>
            </w:r>
            <w:r w:rsidR="00C41C2C" w:rsidRPr="008928F2">
              <w:fldChar w:fldCharType="begin"/>
            </w:r>
            <w:r w:rsidR="00C41C2C" w:rsidRPr="008928F2">
              <w:instrText xml:space="preserve"> =MAX(Above)+1 </w:instrText>
            </w:r>
            <w:r w:rsidR="00C41C2C" w:rsidRPr="008928F2">
              <w:fldChar w:fldCharType="separate"/>
            </w:r>
            <w:r w:rsidR="00333587" w:rsidRPr="008928F2">
              <w:t>5</w:t>
            </w:r>
            <w:r w:rsidR="00C41C2C" w:rsidRPr="008928F2">
              <w:fldChar w:fldCharType="end"/>
            </w:r>
          </w:p>
        </w:tc>
        <w:tc>
          <w:tcPr>
            <w:tcW w:w="4156" w:type="dxa"/>
            <w:tcBorders>
              <w:top w:val="single" w:sz="4" w:space="0" w:color="auto"/>
              <w:bottom w:val="single" w:sz="4" w:space="0" w:color="auto"/>
            </w:tcBorders>
          </w:tcPr>
          <w:p w14:paraId="121F1D15" w14:textId="5C7F9E90" w:rsidR="00170B8B" w:rsidRPr="008928F2" w:rsidRDefault="00170B8B" w:rsidP="008928F2">
            <w:pPr>
              <w:pStyle w:val="Table-Text"/>
            </w:pPr>
            <w:r w:rsidRPr="008928F2">
              <w:t>Build on the learnings from Narun</w:t>
            </w:r>
            <w:r w:rsidR="00BB5477" w:rsidRPr="008928F2">
              <w:t>g</w:t>
            </w:r>
            <w:r w:rsidRPr="008928F2">
              <w:t xml:space="preserve">ga Nations pilot cultural connection program </w:t>
            </w:r>
          </w:p>
        </w:tc>
        <w:tc>
          <w:tcPr>
            <w:tcW w:w="3040" w:type="dxa"/>
            <w:tcBorders>
              <w:top w:val="single" w:sz="4" w:space="0" w:color="auto"/>
              <w:bottom w:val="single" w:sz="4" w:space="0" w:color="auto"/>
            </w:tcBorders>
          </w:tcPr>
          <w:p w14:paraId="6F1B29E2" w14:textId="77777777" w:rsidR="00640DE5" w:rsidRPr="008928F2" w:rsidRDefault="0096095C" w:rsidP="008928F2">
            <w:pPr>
              <w:pStyle w:val="Table-Text"/>
            </w:pPr>
            <w:r w:rsidRPr="008928F2">
              <w:t>NNAC</w:t>
            </w:r>
          </w:p>
          <w:p w14:paraId="237E8F04" w14:textId="5CCAE760" w:rsidR="00170B8B" w:rsidRPr="008928F2" w:rsidRDefault="0096095C" w:rsidP="008928F2">
            <w:pPr>
              <w:pStyle w:val="Table-Text"/>
            </w:pPr>
            <w:r w:rsidRPr="008928F2">
              <w:t>MAYFS</w:t>
            </w:r>
          </w:p>
        </w:tc>
        <w:tc>
          <w:tcPr>
            <w:tcW w:w="884" w:type="dxa"/>
            <w:tcBorders>
              <w:top w:val="single" w:sz="4" w:space="0" w:color="auto"/>
              <w:bottom w:val="single" w:sz="4" w:space="0" w:color="auto"/>
            </w:tcBorders>
          </w:tcPr>
          <w:p w14:paraId="01DC3851" w14:textId="68466B9A" w:rsidR="00170B8B" w:rsidRPr="008928F2" w:rsidRDefault="0096095C" w:rsidP="008928F2">
            <w:pPr>
              <w:pStyle w:val="Table-Text"/>
            </w:pPr>
            <w:r w:rsidRPr="008928F2">
              <w:t>DHS</w:t>
            </w:r>
          </w:p>
        </w:tc>
        <w:tc>
          <w:tcPr>
            <w:tcW w:w="2268" w:type="dxa"/>
            <w:tcBorders>
              <w:top w:val="single" w:sz="4" w:space="0" w:color="auto"/>
              <w:bottom w:val="single" w:sz="4" w:space="0" w:color="auto"/>
            </w:tcBorders>
          </w:tcPr>
          <w:p w14:paraId="573E6D50" w14:textId="04BC2A0C" w:rsidR="00170B8B" w:rsidRPr="008928F2" w:rsidRDefault="000A6B24" w:rsidP="008928F2">
            <w:pPr>
              <w:pStyle w:val="Table-Text"/>
            </w:pPr>
            <w:r w:rsidRPr="008928F2">
              <w:t>31 December 2023</w:t>
            </w:r>
          </w:p>
        </w:tc>
        <w:tc>
          <w:tcPr>
            <w:tcW w:w="2994" w:type="dxa"/>
            <w:tcBorders>
              <w:top w:val="single" w:sz="4" w:space="0" w:color="auto"/>
              <w:bottom w:val="single" w:sz="4" w:space="0" w:color="auto"/>
            </w:tcBorders>
          </w:tcPr>
          <w:p w14:paraId="599D29A6" w14:textId="19FA5F31" w:rsidR="00170B8B" w:rsidRPr="008928F2" w:rsidRDefault="000A6B24" w:rsidP="008928F2">
            <w:pPr>
              <w:pStyle w:val="Table-Text"/>
            </w:pPr>
            <w:r w:rsidRPr="008928F2">
              <w:t>Strategy</w:t>
            </w:r>
          </w:p>
        </w:tc>
      </w:tr>
      <w:tr w:rsidR="00170B8B" w:rsidRPr="008928F2" w14:paraId="501D4563" w14:textId="076E83F1" w:rsidTr="00A021D2">
        <w:tc>
          <w:tcPr>
            <w:tcW w:w="709" w:type="dxa"/>
            <w:tcBorders>
              <w:top w:val="single" w:sz="4" w:space="0" w:color="auto"/>
            </w:tcBorders>
          </w:tcPr>
          <w:p w14:paraId="57EA88D7" w14:textId="251927D1" w:rsidR="00170B8B" w:rsidRPr="008928F2" w:rsidRDefault="00286927" w:rsidP="008928F2">
            <w:pPr>
              <w:pStyle w:val="Table-Text"/>
            </w:pPr>
            <w:r w:rsidRPr="008928F2">
              <w:t>4.</w:t>
            </w:r>
            <w:r w:rsidR="00C41C2C" w:rsidRPr="008928F2">
              <w:fldChar w:fldCharType="begin"/>
            </w:r>
            <w:r w:rsidR="00C41C2C" w:rsidRPr="008928F2">
              <w:instrText xml:space="preserve"> =MAX(Above)+1 </w:instrText>
            </w:r>
            <w:r w:rsidR="00C41C2C" w:rsidRPr="008928F2">
              <w:fldChar w:fldCharType="separate"/>
            </w:r>
            <w:r w:rsidR="00333587" w:rsidRPr="008928F2">
              <w:t>6</w:t>
            </w:r>
            <w:r w:rsidR="00C41C2C" w:rsidRPr="008928F2">
              <w:fldChar w:fldCharType="end"/>
            </w:r>
          </w:p>
        </w:tc>
        <w:tc>
          <w:tcPr>
            <w:tcW w:w="4156" w:type="dxa"/>
            <w:tcBorders>
              <w:top w:val="single" w:sz="4" w:space="0" w:color="auto"/>
            </w:tcBorders>
          </w:tcPr>
          <w:p w14:paraId="43EE18F0" w14:textId="51CB7D44" w:rsidR="004E560F" w:rsidRPr="008928F2" w:rsidRDefault="00384228" w:rsidP="008928F2">
            <w:pPr>
              <w:pStyle w:val="Table-Text"/>
            </w:pPr>
            <w:r w:rsidRPr="008928F2">
              <w:t>Work with communities and partners to i</w:t>
            </w:r>
            <w:r w:rsidR="4A7CE2A3" w:rsidRPr="008928F2">
              <w:t xml:space="preserve">ncrease learning of language and culture in </w:t>
            </w:r>
            <w:r w:rsidR="00CB0789" w:rsidRPr="5BB17B76">
              <w:t>Kurlana Tapa Youth Justice Centre</w:t>
            </w:r>
          </w:p>
        </w:tc>
        <w:tc>
          <w:tcPr>
            <w:tcW w:w="3040" w:type="dxa"/>
            <w:tcBorders>
              <w:top w:val="single" w:sz="4" w:space="0" w:color="auto"/>
            </w:tcBorders>
          </w:tcPr>
          <w:p w14:paraId="293A9BA8" w14:textId="77777777" w:rsidR="00170B8B" w:rsidRPr="008928F2" w:rsidRDefault="006E6713" w:rsidP="008928F2">
            <w:pPr>
              <w:pStyle w:val="Table-Text"/>
            </w:pPr>
            <w:r w:rsidRPr="008928F2">
              <w:t>Education</w:t>
            </w:r>
          </w:p>
          <w:p w14:paraId="7EB24944" w14:textId="07FBDF95" w:rsidR="00E93107" w:rsidRPr="008928F2" w:rsidRDefault="006E6713" w:rsidP="008928F2">
            <w:pPr>
              <w:pStyle w:val="Table-Text"/>
            </w:pPr>
            <w:r w:rsidRPr="008928F2">
              <w:t>A</w:t>
            </w:r>
            <w:r w:rsidR="0099738A" w:rsidRPr="008928F2">
              <w:t>AR</w:t>
            </w:r>
          </w:p>
          <w:p w14:paraId="1A6993DB" w14:textId="3320F783" w:rsidR="00E93107" w:rsidRPr="008928F2" w:rsidRDefault="00E93107" w:rsidP="008928F2">
            <w:pPr>
              <w:pStyle w:val="Table-Text"/>
            </w:pPr>
            <w:r w:rsidRPr="008928F2">
              <w:t>Aboriginal C</w:t>
            </w:r>
            <w:r w:rsidR="00306357" w:rsidRPr="008928F2">
              <w:t>ommunities</w:t>
            </w:r>
          </w:p>
        </w:tc>
        <w:tc>
          <w:tcPr>
            <w:tcW w:w="884" w:type="dxa"/>
            <w:tcBorders>
              <w:top w:val="single" w:sz="4" w:space="0" w:color="auto"/>
            </w:tcBorders>
          </w:tcPr>
          <w:p w14:paraId="0D9E62D9" w14:textId="2E2F0685" w:rsidR="00170B8B" w:rsidRPr="008928F2" w:rsidRDefault="000A6B24" w:rsidP="008928F2">
            <w:pPr>
              <w:pStyle w:val="Table-Text"/>
            </w:pPr>
            <w:r w:rsidRPr="008928F2">
              <w:t>DHS</w:t>
            </w:r>
          </w:p>
        </w:tc>
        <w:tc>
          <w:tcPr>
            <w:tcW w:w="2268" w:type="dxa"/>
            <w:tcBorders>
              <w:top w:val="single" w:sz="4" w:space="0" w:color="auto"/>
            </w:tcBorders>
          </w:tcPr>
          <w:p w14:paraId="0C7BA855" w14:textId="59B31AB9" w:rsidR="00170B8B" w:rsidRPr="008928F2" w:rsidRDefault="00D16785" w:rsidP="008928F2">
            <w:pPr>
              <w:pStyle w:val="Table-Text"/>
            </w:pPr>
            <w:r w:rsidRPr="008928F2">
              <w:t>30 June 2022</w:t>
            </w:r>
          </w:p>
        </w:tc>
        <w:tc>
          <w:tcPr>
            <w:tcW w:w="2994" w:type="dxa"/>
            <w:tcBorders>
              <w:top w:val="single" w:sz="4" w:space="0" w:color="auto"/>
            </w:tcBorders>
          </w:tcPr>
          <w:p w14:paraId="35C860E9" w14:textId="1CA3742C" w:rsidR="00170B8B" w:rsidRPr="008928F2" w:rsidRDefault="00302232" w:rsidP="008928F2">
            <w:pPr>
              <w:pStyle w:val="Table-Text"/>
            </w:pPr>
            <w:r w:rsidRPr="00302232">
              <w:t>Strategy and Operational</w:t>
            </w:r>
          </w:p>
        </w:tc>
      </w:tr>
    </w:tbl>
    <w:p w14:paraId="69DDA61D" w14:textId="5FFF63F9" w:rsidR="008D3FC1" w:rsidRDefault="008D3FC1">
      <w:pPr>
        <w:spacing w:before="0"/>
        <w:rPr>
          <w:rFonts w:ascii="Calibri" w:eastAsia="Calibri" w:hAnsi="Calibri" w:cs="Calibri"/>
          <w:b/>
          <w:bCs/>
          <w:color w:val="1F3763" w:themeColor="accent1" w:themeShade="7F"/>
          <w:sz w:val="32"/>
          <w:szCs w:val="32"/>
        </w:rPr>
      </w:pPr>
    </w:p>
    <w:p w14:paraId="0F973C9D" w14:textId="6DAB90C4" w:rsidR="00635705" w:rsidRDefault="00B40F25" w:rsidP="004E784C">
      <w:pPr>
        <w:pStyle w:val="Heading3"/>
        <w:rPr>
          <w:rStyle w:val="normaltextrun"/>
          <w:rFonts w:cstheme="minorHAnsi"/>
          <w:i/>
          <w:iCs/>
        </w:rPr>
      </w:pPr>
      <w:r>
        <w:rPr>
          <w:rFonts w:eastAsia="Calibri"/>
        </w:rPr>
        <w:lastRenderedPageBreak/>
        <w:t xml:space="preserve">5. </w:t>
      </w:r>
      <w:r w:rsidR="00635705" w:rsidRPr="00286927">
        <w:rPr>
          <w:rFonts w:eastAsia="Calibri"/>
        </w:rPr>
        <w:t>Reconnection with community – We</w:t>
      </w:r>
      <w:r w:rsidR="00635705" w:rsidRPr="00286927">
        <w:rPr>
          <w:rStyle w:val="normaltextrun"/>
          <w:rFonts w:cstheme="minorHAnsi"/>
          <w:i/>
          <w:iCs/>
        </w:rPr>
        <w:t xml:space="preserve"> are clear on our role in supporting children and young people and to connect to community, while maintaining community safety and acknowledging the impact on victims of crime.</w:t>
      </w:r>
    </w:p>
    <w:tbl>
      <w:tblPr>
        <w:tblStyle w:val="TableGrid"/>
        <w:tblW w:w="14217" w:type="dxa"/>
        <w:tblLayout w:type="fixed"/>
        <w:tblLook w:val="04A0" w:firstRow="1" w:lastRow="0" w:firstColumn="1" w:lastColumn="0" w:noHBand="0" w:noVBand="1"/>
      </w:tblPr>
      <w:tblGrid>
        <w:gridCol w:w="709"/>
        <w:gridCol w:w="4156"/>
        <w:gridCol w:w="3109"/>
        <w:gridCol w:w="896"/>
        <w:gridCol w:w="2296"/>
        <w:gridCol w:w="3051"/>
      </w:tblGrid>
      <w:tr w:rsidR="00A021D2" w14:paraId="62A1C9B8" w14:textId="77777777" w:rsidTr="00574661">
        <w:trPr>
          <w:tblHeader/>
        </w:trPr>
        <w:tc>
          <w:tcPr>
            <w:tcW w:w="709" w:type="dxa"/>
            <w:shd w:val="clear" w:color="auto" w:fill="F2F2F2" w:themeFill="background1" w:themeFillShade="F2"/>
          </w:tcPr>
          <w:p w14:paraId="4D05528F" w14:textId="30C996D7" w:rsidR="00A021D2" w:rsidRDefault="00A021D2" w:rsidP="00410A76">
            <w:pPr>
              <w:pStyle w:val="Table-Header"/>
              <w:spacing w:line="259" w:lineRule="auto"/>
            </w:pPr>
            <w:r>
              <w:t>#</w:t>
            </w:r>
          </w:p>
        </w:tc>
        <w:tc>
          <w:tcPr>
            <w:tcW w:w="4156" w:type="dxa"/>
            <w:shd w:val="clear" w:color="auto" w:fill="F2F2F2" w:themeFill="background1" w:themeFillShade="F2"/>
          </w:tcPr>
          <w:p w14:paraId="603D095B" w14:textId="6852CC91" w:rsidR="00A021D2" w:rsidRDefault="00A021D2" w:rsidP="00410A76">
            <w:pPr>
              <w:pStyle w:val="Table-Header"/>
              <w:spacing w:line="259" w:lineRule="auto"/>
            </w:pPr>
            <w:r>
              <w:t>Project</w:t>
            </w:r>
          </w:p>
        </w:tc>
        <w:tc>
          <w:tcPr>
            <w:tcW w:w="3109" w:type="dxa"/>
            <w:shd w:val="clear" w:color="auto" w:fill="F2F2F2" w:themeFill="background1" w:themeFillShade="F2"/>
          </w:tcPr>
          <w:p w14:paraId="209CE2A5" w14:textId="20232389" w:rsidR="00A021D2" w:rsidRDefault="00A021D2" w:rsidP="00410A76">
            <w:pPr>
              <w:pStyle w:val="Table-Header"/>
              <w:spacing w:line="259" w:lineRule="auto"/>
            </w:pPr>
            <w:r>
              <w:t>Partners</w:t>
            </w:r>
          </w:p>
        </w:tc>
        <w:tc>
          <w:tcPr>
            <w:tcW w:w="896" w:type="dxa"/>
            <w:shd w:val="clear" w:color="auto" w:fill="F2F2F2" w:themeFill="background1" w:themeFillShade="F2"/>
          </w:tcPr>
          <w:p w14:paraId="3DAF8DB6" w14:textId="4BD6B922" w:rsidR="00A021D2" w:rsidRDefault="00A021D2" w:rsidP="00410A76">
            <w:pPr>
              <w:pStyle w:val="Table-Header"/>
              <w:spacing w:line="259" w:lineRule="auto"/>
            </w:pPr>
            <w:r>
              <w:t>Lead</w:t>
            </w:r>
          </w:p>
        </w:tc>
        <w:tc>
          <w:tcPr>
            <w:tcW w:w="2296" w:type="dxa"/>
            <w:shd w:val="clear" w:color="auto" w:fill="F2F2F2" w:themeFill="background1" w:themeFillShade="F2"/>
          </w:tcPr>
          <w:p w14:paraId="12DC5AAF" w14:textId="43ED8877" w:rsidR="00A021D2" w:rsidRDefault="00A021D2" w:rsidP="00410A76">
            <w:pPr>
              <w:pStyle w:val="Table-Header"/>
              <w:spacing w:line="259" w:lineRule="auto"/>
            </w:pPr>
            <w:r>
              <w:t>Timeframe</w:t>
            </w:r>
          </w:p>
        </w:tc>
        <w:tc>
          <w:tcPr>
            <w:tcW w:w="3051" w:type="dxa"/>
            <w:shd w:val="clear" w:color="auto" w:fill="F2F2F2" w:themeFill="background1" w:themeFillShade="F2"/>
          </w:tcPr>
          <w:p w14:paraId="2A8F9DB4" w14:textId="6170DC46" w:rsidR="00A021D2" w:rsidRDefault="00A021D2" w:rsidP="00410A76">
            <w:pPr>
              <w:pStyle w:val="Table-Header"/>
              <w:spacing w:line="259" w:lineRule="auto"/>
            </w:pPr>
            <w:r>
              <w:t>Strategy / Policy / Operational</w:t>
            </w:r>
          </w:p>
        </w:tc>
      </w:tr>
      <w:tr w:rsidR="00A021D2" w14:paraId="15CF49FB" w14:textId="77777777" w:rsidTr="008D3FC1">
        <w:tc>
          <w:tcPr>
            <w:tcW w:w="709" w:type="dxa"/>
          </w:tcPr>
          <w:p w14:paraId="73C4950C" w14:textId="12E4596D" w:rsidR="00A021D2" w:rsidRDefault="00A021D2" w:rsidP="00A021D2">
            <w:r>
              <w:t>5.1</w:t>
            </w:r>
          </w:p>
        </w:tc>
        <w:tc>
          <w:tcPr>
            <w:tcW w:w="4156" w:type="dxa"/>
          </w:tcPr>
          <w:p w14:paraId="5796DB34" w14:textId="5C337187" w:rsidR="00A021D2" w:rsidRDefault="00A021D2" w:rsidP="00A021D2">
            <w:r w:rsidRPr="008928F2">
              <w:t>Strengthen pathways for young people’s access to targeted training and employment opportunities</w:t>
            </w:r>
            <w:r w:rsidR="008A159A">
              <w:t xml:space="preserve"> </w:t>
            </w:r>
          </w:p>
        </w:tc>
        <w:tc>
          <w:tcPr>
            <w:tcW w:w="3109" w:type="dxa"/>
          </w:tcPr>
          <w:p w14:paraId="51643ED1" w14:textId="1238C67C" w:rsidR="00A021D2" w:rsidRDefault="00A021D2" w:rsidP="00A021D2">
            <w:r w:rsidRPr="008928F2">
              <w:t>DIS</w:t>
            </w:r>
          </w:p>
        </w:tc>
        <w:tc>
          <w:tcPr>
            <w:tcW w:w="896" w:type="dxa"/>
          </w:tcPr>
          <w:p w14:paraId="0DCACB78" w14:textId="4D9C06B3" w:rsidR="00A021D2" w:rsidRDefault="00A021D2" w:rsidP="00A021D2">
            <w:r w:rsidRPr="008928F2">
              <w:t>DHS</w:t>
            </w:r>
          </w:p>
        </w:tc>
        <w:tc>
          <w:tcPr>
            <w:tcW w:w="2296" w:type="dxa"/>
          </w:tcPr>
          <w:p w14:paraId="37EC7184" w14:textId="76054B7C" w:rsidR="00A021D2" w:rsidRDefault="00A021D2" w:rsidP="00A021D2">
            <w:r w:rsidRPr="008928F2">
              <w:t>30 June 2022</w:t>
            </w:r>
          </w:p>
        </w:tc>
        <w:tc>
          <w:tcPr>
            <w:tcW w:w="3051" w:type="dxa"/>
          </w:tcPr>
          <w:p w14:paraId="04CBB444" w14:textId="5322C15F" w:rsidR="00A021D2" w:rsidRDefault="00A021D2" w:rsidP="00A021D2">
            <w:r w:rsidRPr="008928F2">
              <w:t>Strategy</w:t>
            </w:r>
          </w:p>
        </w:tc>
      </w:tr>
      <w:tr w:rsidR="00A021D2" w14:paraId="19AF8156" w14:textId="77777777" w:rsidTr="008D3FC1">
        <w:tc>
          <w:tcPr>
            <w:tcW w:w="709" w:type="dxa"/>
          </w:tcPr>
          <w:p w14:paraId="4C55DB47" w14:textId="461C2F8E" w:rsidR="00A021D2" w:rsidRDefault="00A021D2" w:rsidP="00A021D2">
            <w:r>
              <w:t>5.2</w:t>
            </w:r>
          </w:p>
        </w:tc>
        <w:tc>
          <w:tcPr>
            <w:tcW w:w="4156" w:type="dxa"/>
          </w:tcPr>
          <w:p w14:paraId="14CA1C5F" w14:textId="58D96DBF" w:rsidR="00A021D2" w:rsidRDefault="00A021D2" w:rsidP="00A021D2">
            <w:r w:rsidRPr="008928F2">
              <w:t xml:space="preserve">Design and adopt a set of agreed outcome measures </w:t>
            </w:r>
          </w:p>
        </w:tc>
        <w:tc>
          <w:tcPr>
            <w:tcW w:w="3109" w:type="dxa"/>
          </w:tcPr>
          <w:p w14:paraId="65C734D0" w14:textId="77777777" w:rsidR="00A021D2" w:rsidRPr="008928F2" w:rsidRDefault="00A021D2" w:rsidP="00A021D2">
            <w:pPr>
              <w:pStyle w:val="Table-Text"/>
            </w:pPr>
            <w:r w:rsidRPr="008928F2">
              <w:t>DCP</w:t>
            </w:r>
          </w:p>
          <w:p w14:paraId="2641F6E4" w14:textId="77777777" w:rsidR="00A021D2" w:rsidRPr="008928F2" w:rsidRDefault="00A021D2" w:rsidP="00A021D2">
            <w:pPr>
              <w:pStyle w:val="Table-Text"/>
            </w:pPr>
            <w:r w:rsidRPr="008928F2">
              <w:t>Education</w:t>
            </w:r>
          </w:p>
          <w:p w14:paraId="28AF195E" w14:textId="4BA94ED0" w:rsidR="00A021D2" w:rsidRDefault="00A021D2" w:rsidP="00A021D2">
            <w:r w:rsidRPr="008928F2">
              <w:t>SA Health</w:t>
            </w:r>
          </w:p>
        </w:tc>
        <w:tc>
          <w:tcPr>
            <w:tcW w:w="896" w:type="dxa"/>
          </w:tcPr>
          <w:p w14:paraId="606CEF1B" w14:textId="5BB82F51" w:rsidR="00A021D2" w:rsidRDefault="00A021D2" w:rsidP="00A021D2">
            <w:r w:rsidRPr="008928F2">
              <w:t>DHS</w:t>
            </w:r>
          </w:p>
        </w:tc>
        <w:tc>
          <w:tcPr>
            <w:tcW w:w="2296" w:type="dxa"/>
          </w:tcPr>
          <w:p w14:paraId="4E1DD558" w14:textId="409C6C3C" w:rsidR="00A021D2" w:rsidRDefault="00A021D2" w:rsidP="00A021D2">
            <w:r w:rsidRPr="008928F2">
              <w:t>31 December 2020</w:t>
            </w:r>
          </w:p>
        </w:tc>
        <w:tc>
          <w:tcPr>
            <w:tcW w:w="3051" w:type="dxa"/>
          </w:tcPr>
          <w:p w14:paraId="698E7871" w14:textId="05ABADCB" w:rsidR="00A021D2" w:rsidRDefault="00A021D2" w:rsidP="00A021D2">
            <w:r w:rsidRPr="008928F2">
              <w:t>Strategy</w:t>
            </w:r>
          </w:p>
        </w:tc>
      </w:tr>
      <w:tr w:rsidR="00A021D2" w14:paraId="698B7A55" w14:textId="77777777" w:rsidTr="008D3FC1">
        <w:tc>
          <w:tcPr>
            <w:tcW w:w="709" w:type="dxa"/>
          </w:tcPr>
          <w:p w14:paraId="7D018480" w14:textId="0984BCA1" w:rsidR="00A021D2" w:rsidRDefault="00A021D2" w:rsidP="00A021D2">
            <w:r>
              <w:t>5.3</w:t>
            </w:r>
          </w:p>
        </w:tc>
        <w:tc>
          <w:tcPr>
            <w:tcW w:w="4156" w:type="dxa"/>
          </w:tcPr>
          <w:p w14:paraId="3E450E8C" w14:textId="4650A3EA" w:rsidR="00A021D2" w:rsidRDefault="00A021D2" w:rsidP="00A021D2">
            <w:r w:rsidRPr="008928F2">
              <w:t xml:space="preserve">Review the policies on leave from </w:t>
            </w:r>
            <w:r w:rsidR="00CB0789" w:rsidRPr="5BB17B76">
              <w:t>Kurlana Tapa Youth Justice Centre</w:t>
            </w:r>
            <w:r w:rsidRPr="008928F2">
              <w:t xml:space="preserve"> (section 34 and 40 YJAA), and the process to support Conditional Release applications </w:t>
            </w:r>
          </w:p>
        </w:tc>
        <w:tc>
          <w:tcPr>
            <w:tcW w:w="3109" w:type="dxa"/>
          </w:tcPr>
          <w:p w14:paraId="06A8A9FE" w14:textId="77777777" w:rsidR="00A021D2" w:rsidRPr="008928F2" w:rsidRDefault="00A021D2" w:rsidP="00A021D2">
            <w:pPr>
              <w:pStyle w:val="Table-Text"/>
            </w:pPr>
            <w:r w:rsidRPr="008928F2">
              <w:t>CAA</w:t>
            </w:r>
          </w:p>
          <w:p w14:paraId="0F8E33D8" w14:textId="77777777" w:rsidR="00A021D2" w:rsidRPr="008928F2" w:rsidRDefault="00A021D2" w:rsidP="00A021D2">
            <w:pPr>
              <w:pStyle w:val="Table-Text"/>
            </w:pPr>
            <w:r w:rsidRPr="008928F2">
              <w:t>TCRB</w:t>
            </w:r>
          </w:p>
          <w:p w14:paraId="7A4BE7FF" w14:textId="5D678C48" w:rsidR="00A021D2" w:rsidRDefault="00A021D2" w:rsidP="00A021D2">
            <w:r w:rsidRPr="008928F2">
              <w:t>Aboriginal Communities</w:t>
            </w:r>
          </w:p>
        </w:tc>
        <w:tc>
          <w:tcPr>
            <w:tcW w:w="896" w:type="dxa"/>
          </w:tcPr>
          <w:p w14:paraId="4D102B5B" w14:textId="49464DA7" w:rsidR="00A021D2" w:rsidRDefault="00A021D2" w:rsidP="00A021D2">
            <w:r w:rsidRPr="008928F2">
              <w:t>DHS</w:t>
            </w:r>
          </w:p>
        </w:tc>
        <w:tc>
          <w:tcPr>
            <w:tcW w:w="2296" w:type="dxa"/>
          </w:tcPr>
          <w:p w14:paraId="005C1682" w14:textId="390F73B0" w:rsidR="00A021D2" w:rsidRDefault="00A021D2" w:rsidP="00A021D2">
            <w:r w:rsidRPr="008928F2">
              <w:t>30 June 2021</w:t>
            </w:r>
          </w:p>
        </w:tc>
        <w:tc>
          <w:tcPr>
            <w:tcW w:w="3051" w:type="dxa"/>
          </w:tcPr>
          <w:p w14:paraId="67D82189" w14:textId="31A4B98D" w:rsidR="00A021D2" w:rsidRDefault="00A021D2" w:rsidP="00A021D2">
            <w:r w:rsidRPr="00302232">
              <w:t>Policy and Operational</w:t>
            </w:r>
          </w:p>
        </w:tc>
      </w:tr>
      <w:tr w:rsidR="00A021D2" w14:paraId="1AC91F7C" w14:textId="77777777" w:rsidTr="008D3FC1">
        <w:tc>
          <w:tcPr>
            <w:tcW w:w="709" w:type="dxa"/>
          </w:tcPr>
          <w:p w14:paraId="26E0F6E2" w14:textId="22A9E8E9" w:rsidR="00A021D2" w:rsidRDefault="00A021D2" w:rsidP="00A021D2">
            <w:r>
              <w:t>5.4</w:t>
            </w:r>
          </w:p>
        </w:tc>
        <w:tc>
          <w:tcPr>
            <w:tcW w:w="4156" w:type="dxa"/>
          </w:tcPr>
          <w:p w14:paraId="1F6BF413" w14:textId="0DF001C9" w:rsidR="00A021D2" w:rsidRDefault="00A021D2" w:rsidP="00A021D2">
            <w:r w:rsidRPr="008928F2">
              <w:t>Leverage existing community programs</w:t>
            </w:r>
            <w:r w:rsidR="008A159A">
              <w:t xml:space="preserve"> </w:t>
            </w:r>
          </w:p>
        </w:tc>
        <w:tc>
          <w:tcPr>
            <w:tcW w:w="3109" w:type="dxa"/>
          </w:tcPr>
          <w:p w14:paraId="0B7F4AAE" w14:textId="6753D388" w:rsidR="00A021D2" w:rsidRDefault="00A021D2" w:rsidP="00A021D2">
            <w:r w:rsidRPr="008928F2">
              <w:t>NGOs</w:t>
            </w:r>
          </w:p>
        </w:tc>
        <w:tc>
          <w:tcPr>
            <w:tcW w:w="896" w:type="dxa"/>
          </w:tcPr>
          <w:p w14:paraId="2D60BD85" w14:textId="5A8A229F" w:rsidR="00A021D2" w:rsidRDefault="00A021D2" w:rsidP="00A021D2">
            <w:r w:rsidRPr="008928F2">
              <w:t>DHS</w:t>
            </w:r>
          </w:p>
        </w:tc>
        <w:tc>
          <w:tcPr>
            <w:tcW w:w="2296" w:type="dxa"/>
          </w:tcPr>
          <w:p w14:paraId="735355A7" w14:textId="1B9CAF40" w:rsidR="00A021D2" w:rsidRDefault="00A021D2" w:rsidP="00A021D2">
            <w:r w:rsidRPr="008928F2">
              <w:t>30 June 2021</w:t>
            </w:r>
          </w:p>
        </w:tc>
        <w:tc>
          <w:tcPr>
            <w:tcW w:w="3051" w:type="dxa"/>
          </w:tcPr>
          <w:p w14:paraId="5F09ECAA" w14:textId="4028880D" w:rsidR="00A021D2" w:rsidRDefault="00A021D2" w:rsidP="00A021D2">
            <w:r w:rsidRPr="00302232">
              <w:t>Operational</w:t>
            </w:r>
          </w:p>
        </w:tc>
      </w:tr>
      <w:tr w:rsidR="00410A76" w14:paraId="052C185C" w14:textId="77777777" w:rsidTr="008D3FC1">
        <w:tc>
          <w:tcPr>
            <w:tcW w:w="709" w:type="dxa"/>
          </w:tcPr>
          <w:p w14:paraId="7ED5C603" w14:textId="02629575" w:rsidR="00410A76" w:rsidRDefault="00410A76" w:rsidP="00410A76">
            <w:r>
              <w:t>5.5</w:t>
            </w:r>
          </w:p>
        </w:tc>
        <w:tc>
          <w:tcPr>
            <w:tcW w:w="4156" w:type="dxa"/>
          </w:tcPr>
          <w:p w14:paraId="6A1A6629" w14:textId="2BEDBB26" w:rsidR="00410A76" w:rsidRDefault="00410A76" w:rsidP="00410A76">
            <w:r w:rsidRPr="008928F2">
              <w:t xml:space="preserve">Develop a communications strategy </w:t>
            </w:r>
          </w:p>
        </w:tc>
        <w:tc>
          <w:tcPr>
            <w:tcW w:w="3109" w:type="dxa"/>
          </w:tcPr>
          <w:p w14:paraId="11CE2384" w14:textId="41979338" w:rsidR="00410A76" w:rsidRDefault="00410A76" w:rsidP="00410A76">
            <w:r>
              <w:t>None</w:t>
            </w:r>
          </w:p>
        </w:tc>
        <w:tc>
          <w:tcPr>
            <w:tcW w:w="896" w:type="dxa"/>
          </w:tcPr>
          <w:p w14:paraId="2C3532A8" w14:textId="57B76A8C" w:rsidR="00410A76" w:rsidRDefault="00410A76" w:rsidP="00410A76">
            <w:r w:rsidRPr="008928F2">
              <w:t>DHS</w:t>
            </w:r>
          </w:p>
        </w:tc>
        <w:tc>
          <w:tcPr>
            <w:tcW w:w="2296" w:type="dxa"/>
          </w:tcPr>
          <w:p w14:paraId="0FE51740" w14:textId="6342CE8A" w:rsidR="00410A76" w:rsidRDefault="00410A76" w:rsidP="00410A76">
            <w:r w:rsidRPr="008928F2">
              <w:t>30 June 2021</w:t>
            </w:r>
          </w:p>
        </w:tc>
        <w:tc>
          <w:tcPr>
            <w:tcW w:w="3051" w:type="dxa"/>
          </w:tcPr>
          <w:p w14:paraId="62B998E9" w14:textId="2253E448" w:rsidR="00410A76" w:rsidRDefault="00410A76" w:rsidP="00410A76">
            <w:r w:rsidRPr="008928F2">
              <w:t>Strategy</w:t>
            </w:r>
          </w:p>
        </w:tc>
      </w:tr>
      <w:tr w:rsidR="00410A76" w14:paraId="14818743" w14:textId="77777777" w:rsidTr="008D3FC1">
        <w:tc>
          <w:tcPr>
            <w:tcW w:w="709" w:type="dxa"/>
          </w:tcPr>
          <w:p w14:paraId="33772A43" w14:textId="2E5EB91C" w:rsidR="00410A76" w:rsidRDefault="00410A76" w:rsidP="00410A76">
            <w:r>
              <w:t>5.6</w:t>
            </w:r>
          </w:p>
        </w:tc>
        <w:tc>
          <w:tcPr>
            <w:tcW w:w="4156" w:type="dxa"/>
          </w:tcPr>
          <w:p w14:paraId="7D9D2B92" w14:textId="52263B9A" w:rsidR="00410A76" w:rsidRDefault="00410A76" w:rsidP="00410A76">
            <w:r w:rsidRPr="008928F2">
              <w:t>Support the crucial 24-48 hours post-release</w:t>
            </w:r>
          </w:p>
        </w:tc>
        <w:tc>
          <w:tcPr>
            <w:tcW w:w="3109" w:type="dxa"/>
          </w:tcPr>
          <w:p w14:paraId="2D6193A2" w14:textId="77777777" w:rsidR="00410A76" w:rsidRPr="008928F2" w:rsidRDefault="00410A76" w:rsidP="00410A76">
            <w:pPr>
              <w:pStyle w:val="Table-Text"/>
            </w:pPr>
            <w:r w:rsidRPr="008928F2">
              <w:t>DCP</w:t>
            </w:r>
          </w:p>
          <w:p w14:paraId="13696E38" w14:textId="77777777" w:rsidR="00410A76" w:rsidRPr="008928F2" w:rsidRDefault="00410A76" w:rsidP="00410A76">
            <w:pPr>
              <w:pStyle w:val="Table-Text"/>
            </w:pPr>
            <w:r w:rsidRPr="008928F2">
              <w:t>SA Health</w:t>
            </w:r>
          </w:p>
          <w:p w14:paraId="4EB60EF1" w14:textId="77777777" w:rsidR="00410A76" w:rsidRPr="008928F2" w:rsidRDefault="00410A76" w:rsidP="00410A76">
            <w:pPr>
              <w:pStyle w:val="Table-Text"/>
            </w:pPr>
            <w:r w:rsidRPr="008928F2">
              <w:t>Education</w:t>
            </w:r>
          </w:p>
          <w:p w14:paraId="119D7B13" w14:textId="39682106" w:rsidR="00410A76" w:rsidRDefault="00410A76" w:rsidP="00410A76">
            <w:r w:rsidRPr="008928F2">
              <w:t>SAHA</w:t>
            </w:r>
          </w:p>
        </w:tc>
        <w:tc>
          <w:tcPr>
            <w:tcW w:w="896" w:type="dxa"/>
          </w:tcPr>
          <w:p w14:paraId="61874544" w14:textId="0E372317" w:rsidR="00410A76" w:rsidRDefault="00410A76" w:rsidP="00410A76">
            <w:r w:rsidRPr="008928F2">
              <w:t>DHS</w:t>
            </w:r>
          </w:p>
        </w:tc>
        <w:tc>
          <w:tcPr>
            <w:tcW w:w="2296" w:type="dxa"/>
          </w:tcPr>
          <w:p w14:paraId="1D7938D7" w14:textId="14A74B17" w:rsidR="00410A76" w:rsidRDefault="00410A76" w:rsidP="00410A76">
            <w:r w:rsidRPr="008928F2">
              <w:t>30 June 2021</w:t>
            </w:r>
          </w:p>
        </w:tc>
        <w:tc>
          <w:tcPr>
            <w:tcW w:w="3051" w:type="dxa"/>
          </w:tcPr>
          <w:p w14:paraId="4E86629A" w14:textId="2DCEE9C0" w:rsidR="00410A76" w:rsidRDefault="00410A76" w:rsidP="00410A76">
            <w:r w:rsidRPr="00302232">
              <w:t>Strategy and Operational</w:t>
            </w:r>
          </w:p>
        </w:tc>
      </w:tr>
      <w:tr w:rsidR="00410A76" w14:paraId="1929161B" w14:textId="77777777" w:rsidTr="008D3FC1">
        <w:tc>
          <w:tcPr>
            <w:tcW w:w="709" w:type="dxa"/>
          </w:tcPr>
          <w:p w14:paraId="6A1C867C" w14:textId="3EB03FDE" w:rsidR="00410A76" w:rsidRDefault="00410A76" w:rsidP="00410A76">
            <w:r>
              <w:lastRenderedPageBreak/>
              <w:t>5.7</w:t>
            </w:r>
          </w:p>
        </w:tc>
        <w:tc>
          <w:tcPr>
            <w:tcW w:w="4156" w:type="dxa"/>
          </w:tcPr>
          <w:p w14:paraId="63603277" w14:textId="262DC81A" w:rsidR="00410A76" w:rsidRDefault="00410A76" w:rsidP="00410A76">
            <w:r w:rsidRPr="008928F2">
              <w:t>Implement a Youth Justice Advisory Board comprising young people with lived experience across the youth justice system</w:t>
            </w:r>
          </w:p>
        </w:tc>
        <w:tc>
          <w:tcPr>
            <w:tcW w:w="3109" w:type="dxa"/>
          </w:tcPr>
          <w:p w14:paraId="685E41B2" w14:textId="77777777" w:rsidR="00410A76" w:rsidRPr="008928F2" w:rsidRDefault="00410A76" w:rsidP="00410A76">
            <w:pPr>
              <w:pStyle w:val="Table-Text"/>
            </w:pPr>
            <w:r w:rsidRPr="008928F2">
              <w:t>Red Cross</w:t>
            </w:r>
          </w:p>
          <w:p w14:paraId="030B4AD8" w14:textId="77777777" w:rsidR="00410A76" w:rsidRPr="008928F2" w:rsidRDefault="00410A76" w:rsidP="00410A76">
            <w:pPr>
              <w:pStyle w:val="Table-Text"/>
            </w:pPr>
            <w:r w:rsidRPr="008928F2">
              <w:t>Commissioner for Children and Young People</w:t>
            </w:r>
          </w:p>
          <w:p w14:paraId="7C7CDCE3" w14:textId="6342F9A3" w:rsidR="00410A76" w:rsidRDefault="00410A76" w:rsidP="00410A76">
            <w:r w:rsidRPr="008928F2">
              <w:t>Commissioner for Aboriginal Children and Young People</w:t>
            </w:r>
          </w:p>
        </w:tc>
        <w:tc>
          <w:tcPr>
            <w:tcW w:w="896" w:type="dxa"/>
          </w:tcPr>
          <w:p w14:paraId="5D32F29D" w14:textId="7328344D" w:rsidR="00410A76" w:rsidRDefault="00410A76" w:rsidP="00410A76">
            <w:r w:rsidRPr="008928F2">
              <w:t>DHS</w:t>
            </w:r>
          </w:p>
        </w:tc>
        <w:tc>
          <w:tcPr>
            <w:tcW w:w="2296" w:type="dxa"/>
          </w:tcPr>
          <w:p w14:paraId="06925E82" w14:textId="73D04594" w:rsidR="00410A76" w:rsidRDefault="00410A76" w:rsidP="00410A76">
            <w:r w:rsidRPr="008928F2">
              <w:t>30 June 2021</w:t>
            </w:r>
          </w:p>
        </w:tc>
        <w:tc>
          <w:tcPr>
            <w:tcW w:w="3051" w:type="dxa"/>
          </w:tcPr>
          <w:p w14:paraId="3840632A" w14:textId="65641F5B" w:rsidR="00410A76" w:rsidRDefault="00410A76" w:rsidP="00410A76">
            <w:r w:rsidRPr="008928F2">
              <w:t>Strategy, Policy and Operational</w:t>
            </w:r>
          </w:p>
        </w:tc>
      </w:tr>
    </w:tbl>
    <w:p w14:paraId="1C6A5BB2" w14:textId="36C63565" w:rsidR="00635705" w:rsidRDefault="00B40F25" w:rsidP="004E784C">
      <w:pPr>
        <w:pStyle w:val="Heading3"/>
      </w:pPr>
      <w:r>
        <w:t xml:space="preserve">6. </w:t>
      </w:r>
      <w:r w:rsidR="00635705" w:rsidRPr="00635705">
        <w:t>Business intelligence – We are committed to improvement in the collection, sharing and analysis of data for decision making and research.</w:t>
      </w:r>
    </w:p>
    <w:tbl>
      <w:tblPr>
        <w:tblW w:w="14222" w:type="dxa"/>
        <w:tblLayout w:type="fixed"/>
        <w:tblLook w:val="04A0" w:firstRow="1" w:lastRow="0" w:firstColumn="1" w:lastColumn="0" w:noHBand="0" w:noVBand="1"/>
      </w:tblPr>
      <w:tblGrid>
        <w:gridCol w:w="714"/>
        <w:gridCol w:w="4158"/>
        <w:gridCol w:w="3093"/>
        <w:gridCol w:w="910"/>
        <w:gridCol w:w="2296"/>
        <w:gridCol w:w="3051"/>
      </w:tblGrid>
      <w:tr w:rsidR="00635705" w:rsidRPr="008928F2" w14:paraId="4392A3BE" w14:textId="77777777" w:rsidTr="008D3FC1">
        <w:trPr>
          <w:tblHeader/>
        </w:trPr>
        <w:tc>
          <w:tcPr>
            <w:tcW w:w="714" w:type="dxa"/>
            <w:tcBorders>
              <w:bottom w:val="single" w:sz="4" w:space="0" w:color="auto"/>
            </w:tcBorders>
            <w:shd w:val="clear" w:color="auto" w:fill="F2F2F2" w:themeFill="background1" w:themeFillShade="F2"/>
          </w:tcPr>
          <w:p w14:paraId="555220E8" w14:textId="3488949A" w:rsidR="00635705" w:rsidRPr="008928F2" w:rsidRDefault="00635705" w:rsidP="008928F2">
            <w:pPr>
              <w:pStyle w:val="Table-Header"/>
            </w:pPr>
            <w:r w:rsidRPr="008928F2">
              <w:t>#</w:t>
            </w:r>
          </w:p>
        </w:tc>
        <w:tc>
          <w:tcPr>
            <w:tcW w:w="4158" w:type="dxa"/>
            <w:tcBorders>
              <w:bottom w:val="single" w:sz="4" w:space="0" w:color="auto"/>
            </w:tcBorders>
            <w:shd w:val="clear" w:color="auto" w:fill="F2F2F2" w:themeFill="background1" w:themeFillShade="F2"/>
          </w:tcPr>
          <w:p w14:paraId="4AC54C5B" w14:textId="76B9A87E" w:rsidR="00635705" w:rsidRPr="008928F2" w:rsidRDefault="00635705" w:rsidP="008928F2">
            <w:pPr>
              <w:pStyle w:val="Table-Header"/>
            </w:pPr>
            <w:r w:rsidRPr="008928F2">
              <w:t>Project</w:t>
            </w:r>
          </w:p>
        </w:tc>
        <w:tc>
          <w:tcPr>
            <w:tcW w:w="3093" w:type="dxa"/>
            <w:tcBorders>
              <w:bottom w:val="single" w:sz="4" w:space="0" w:color="auto"/>
            </w:tcBorders>
            <w:shd w:val="clear" w:color="auto" w:fill="F2F2F2" w:themeFill="background1" w:themeFillShade="F2"/>
          </w:tcPr>
          <w:p w14:paraId="0E0F245D" w14:textId="4B81E4BB" w:rsidR="00635705" w:rsidRPr="008928F2" w:rsidRDefault="00635705" w:rsidP="008928F2">
            <w:pPr>
              <w:pStyle w:val="Table-Header"/>
            </w:pPr>
            <w:r w:rsidRPr="008928F2">
              <w:t>Partners</w:t>
            </w:r>
          </w:p>
        </w:tc>
        <w:tc>
          <w:tcPr>
            <w:tcW w:w="910" w:type="dxa"/>
            <w:tcBorders>
              <w:bottom w:val="single" w:sz="4" w:space="0" w:color="auto"/>
            </w:tcBorders>
            <w:shd w:val="clear" w:color="auto" w:fill="F2F2F2" w:themeFill="background1" w:themeFillShade="F2"/>
          </w:tcPr>
          <w:p w14:paraId="75F2CD70" w14:textId="5130B69F" w:rsidR="00635705" w:rsidRPr="008928F2" w:rsidRDefault="00635705" w:rsidP="008928F2">
            <w:pPr>
              <w:pStyle w:val="Table-Header"/>
            </w:pPr>
            <w:r w:rsidRPr="008928F2">
              <w:t>Lead</w:t>
            </w:r>
          </w:p>
        </w:tc>
        <w:tc>
          <w:tcPr>
            <w:tcW w:w="2296" w:type="dxa"/>
            <w:tcBorders>
              <w:bottom w:val="single" w:sz="4" w:space="0" w:color="auto"/>
            </w:tcBorders>
            <w:shd w:val="clear" w:color="auto" w:fill="F2F2F2" w:themeFill="background1" w:themeFillShade="F2"/>
          </w:tcPr>
          <w:p w14:paraId="7EC030BA" w14:textId="54DABFB0" w:rsidR="00635705" w:rsidRPr="008928F2" w:rsidRDefault="00635705" w:rsidP="008928F2">
            <w:pPr>
              <w:pStyle w:val="Table-Header"/>
            </w:pPr>
            <w:r w:rsidRPr="008928F2">
              <w:t>Timeframe</w:t>
            </w:r>
          </w:p>
        </w:tc>
        <w:tc>
          <w:tcPr>
            <w:tcW w:w="3051" w:type="dxa"/>
            <w:tcBorders>
              <w:bottom w:val="single" w:sz="4" w:space="0" w:color="auto"/>
            </w:tcBorders>
            <w:shd w:val="clear" w:color="auto" w:fill="F2F2F2" w:themeFill="background1" w:themeFillShade="F2"/>
          </w:tcPr>
          <w:p w14:paraId="2E1A5744" w14:textId="66F8992E" w:rsidR="00635705" w:rsidRPr="008928F2" w:rsidRDefault="00635705" w:rsidP="008928F2">
            <w:pPr>
              <w:pStyle w:val="Table-Header"/>
            </w:pPr>
            <w:r w:rsidRPr="008928F2">
              <w:t>Strategy / Policy / Operational</w:t>
            </w:r>
          </w:p>
        </w:tc>
      </w:tr>
      <w:tr w:rsidR="00635705" w:rsidRPr="008928F2" w14:paraId="3001EAB1" w14:textId="5B78997E" w:rsidTr="008D3FC1">
        <w:tc>
          <w:tcPr>
            <w:tcW w:w="714" w:type="dxa"/>
            <w:tcBorders>
              <w:bottom w:val="single" w:sz="4" w:space="0" w:color="auto"/>
            </w:tcBorders>
          </w:tcPr>
          <w:p w14:paraId="598E9A41" w14:textId="01900BF7" w:rsidR="00635705" w:rsidRPr="008928F2" w:rsidRDefault="00635705" w:rsidP="008928F2">
            <w:pPr>
              <w:pStyle w:val="Table-Text"/>
            </w:pPr>
            <w:r w:rsidRPr="008928F2">
              <w:t>6.1</w:t>
            </w:r>
          </w:p>
        </w:tc>
        <w:tc>
          <w:tcPr>
            <w:tcW w:w="4158" w:type="dxa"/>
            <w:tcBorders>
              <w:bottom w:val="single" w:sz="4" w:space="0" w:color="auto"/>
            </w:tcBorders>
          </w:tcPr>
          <w:p w14:paraId="5B97978F" w14:textId="121A2CE2" w:rsidR="00635705" w:rsidRPr="008928F2" w:rsidRDefault="00635705" w:rsidP="008928F2">
            <w:pPr>
              <w:pStyle w:val="Table-Text"/>
            </w:pPr>
            <w:r w:rsidRPr="008928F2">
              <w:t>Review and improve client</w:t>
            </w:r>
            <w:r w:rsidR="00CD5ACB">
              <w:t xml:space="preserve"> </w:t>
            </w:r>
            <w:r w:rsidRPr="008928F2">
              <w:t>feedback processes</w:t>
            </w:r>
          </w:p>
        </w:tc>
        <w:tc>
          <w:tcPr>
            <w:tcW w:w="3093" w:type="dxa"/>
            <w:tcBorders>
              <w:bottom w:val="single" w:sz="4" w:space="0" w:color="auto"/>
            </w:tcBorders>
          </w:tcPr>
          <w:p w14:paraId="768D5AD8" w14:textId="219711BE" w:rsidR="00635705" w:rsidRPr="008928F2" w:rsidRDefault="00635705" w:rsidP="008928F2">
            <w:pPr>
              <w:pStyle w:val="Table-Text"/>
            </w:pPr>
            <w:r w:rsidRPr="008928F2">
              <w:t>TCV</w:t>
            </w:r>
          </w:p>
        </w:tc>
        <w:tc>
          <w:tcPr>
            <w:tcW w:w="910" w:type="dxa"/>
            <w:tcBorders>
              <w:bottom w:val="single" w:sz="4" w:space="0" w:color="auto"/>
            </w:tcBorders>
          </w:tcPr>
          <w:p w14:paraId="27832CFF" w14:textId="7E6FD343" w:rsidR="00635705" w:rsidRPr="008928F2" w:rsidRDefault="00635705" w:rsidP="008928F2">
            <w:pPr>
              <w:pStyle w:val="Table-Text"/>
            </w:pPr>
            <w:r w:rsidRPr="008928F2">
              <w:t>DHS</w:t>
            </w:r>
          </w:p>
        </w:tc>
        <w:tc>
          <w:tcPr>
            <w:tcW w:w="2296" w:type="dxa"/>
            <w:tcBorders>
              <w:bottom w:val="single" w:sz="4" w:space="0" w:color="auto"/>
            </w:tcBorders>
          </w:tcPr>
          <w:p w14:paraId="02149BEF" w14:textId="1E6E706E" w:rsidR="00635705" w:rsidRPr="008928F2" w:rsidRDefault="00635705" w:rsidP="008928F2">
            <w:pPr>
              <w:pStyle w:val="Table-Text"/>
            </w:pPr>
            <w:r w:rsidRPr="008928F2">
              <w:t>31 December 2020</w:t>
            </w:r>
          </w:p>
        </w:tc>
        <w:tc>
          <w:tcPr>
            <w:tcW w:w="3051" w:type="dxa"/>
            <w:tcBorders>
              <w:bottom w:val="single" w:sz="4" w:space="0" w:color="auto"/>
            </w:tcBorders>
          </w:tcPr>
          <w:p w14:paraId="3CA55DE0" w14:textId="342EE8E2" w:rsidR="00635705" w:rsidRPr="008928F2" w:rsidRDefault="00635705" w:rsidP="008928F2">
            <w:pPr>
              <w:pStyle w:val="Table-Text"/>
            </w:pPr>
            <w:r w:rsidRPr="008928F2">
              <w:t>Strategy, Policy and Operational</w:t>
            </w:r>
          </w:p>
        </w:tc>
      </w:tr>
      <w:tr w:rsidR="00635705" w:rsidRPr="008928F2" w14:paraId="34777242" w14:textId="418CEA8E" w:rsidTr="008D3FC1">
        <w:tc>
          <w:tcPr>
            <w:tcW w:w="714" w:type="dxa"/>
            <w:tcBorders>
              <w:top w:val="single" w:sz="4" w:space="0" w:color="auto"/>
            </w:tcBorders>
          </w:tcPr>
          <w:p w14:paraId="4F058A7C" w14:textId="257A35F0" w:rsidR="00635705" w:rsidRPr="008928F2" w:rsidRDefault="00635705" w:rsidP="008928F2">
            <w:pPr>
              <w:pStyle w:val="Table-Text"/>
            </w:pPr>
            <w:r w:rsidRPr="008928F2">
              <w:t>6.</w:t>
            </w:r>
            <w:r w:rsidRPr="008928F2">
              <w:fldChar w:fldCharType="begin"/>
            </w:r>
            <w:r w:rsidRPr="008928F2">
              <w:instrText xml:space="preserve"> =MAX(Above)+1 </w:instrText>
            </w:r>
            <w:r w:rsidRPr="008928F2">
              <w:fldChar w:fldCharType="separate"/>
            </w:r>
            <w:r w:rsidRPr="008928F2">
              <w:t>2</w:t>
            </w:r>
            <w:r w:rsidRPr="008928F2">
              <w:fldChar w:fldCharType="end"/>
            </w:r>
          </w:p>
        </w:tc>
        <w:tc>
          <w:tcPr>
            <w:tcW w:w="4158" w:type="dxa"/>
            <w:tcBorders>
              <w:top w:val="single" w:sz="4" w:space="0" w:color="auto"/>
            </w:tcBorders>
          </w:tcPr>
          <w:p w14:paraId="7793E237" w14:textId="2F725BBE" w:rsidR="00635705" w:rsidRPr="008928F2" w:rsidRDefault="00635705" w:rsidP="008928F2">
            <w:pPr>
              <w:pStyle w:val="Table-Text"/>
            </w:pPr>
            <w:r w:rsidRPr="008928F2">
              <w:t>Develop a c</w:t>
            </w:r>
            <w:r w:rsidR="00187552">
              <w:t>ommunity</w:t>
            </w:r>
            <w:r w:rsidRPr="008928F2">
              <w:t>-informed three-year research agenda and identify opportunities for research translation</w:t>
            </w:r>
          </w:p>
        </w:tc>
        <w:tc>
          <w:tcPr>
            <w:tcW w:w="3093" w:type="dxa"/>
            <w:tcBorders>
              <w:top w:val="single" w:sz="4" w:space="0" w:color="auto"/>
            </w:tcBorders>
          </w:tcPr>
          <w:p w14:paraId="4103EC7C" w14:textId="7EDD091B" w:rsidR="00635705" w:rsidRPr="008928F2" w:rsidRDefault="00635705" w:rsidP="008928F2">
            <w:pPr>
              <w:pStyle w:val="Table-Text"/>
            </w:pPr>
            <w:r w:rsidRPr="008928F2">
              <w:t>Universities</w:t>
            </w:r>
          </w:p>
          <w:p w14:paraId="00B33CEF" w14:textId="56D72C8B" w:rsidR="00635705" w:rsidRPr="008928F2" w:rsidRDefault="00635705" w:rsidP="008928F2">
            <w:pPr>
              <w:pStyle w:val="Table-Text"/>
            </w:pPr>
            <w:r w:rsidRPr="008928F2">
              <w:t>NGOs</w:t>
            </w:r>
          </w:p>
          <w:p w14:paraId="52E0D733" w14:textId="40E6F914" w:rsidR="00635705" w:rsidRPr="008928F2" w:rsidRDefault="00635705" w:rsidP="008928F2">
            <w:pPr>
              <w:pStyle w:val="Table-Text"/>
            </w:pPr>
          </w:p>
        </w:tc>
        <w:tc>
          <w:tcPr>
            <w:tcW w:w="910" w:type="dxa"/>
            <w:tcBorders>
              <w:top w:val="single" w:sz="4" w:space="0" w:color="auto"/>
            </w:tcBorders>
          </w:tcPr>
          <w:p w14:paraId="266ECD31" w14:textId="44B8E8C2" w:rsidR="00635705" w:rsidRPr="008928F2" w:rsidRDefault="00635705" w:rsidP="008928F2">
            <w:pPr>
              <w:pStyle w:val="Table-Text"/>
            </w:pPr>
            <w:r w:rsidRPr="008928F2">
              <w:t>DHS</w:t>
            </w:r>
          </w:p>
        </w:tc>
        <w:tc>
          <w:tcPr>
            <w:tcW w:w="2296" w:type="dxa"/>
            <w:tcBorders>
              <w:top w:val="single" w:sz="4" w:space="0" w:color="auto"/>
            </w:tcBorders>
          </w:tcPr>
          <w:p w14:paraId="703E8631" w14:textId="2C7242AF" w:rsidR="00635705" w:rsidRPr="008928F2" w:rsidRDefault="00635705" w:rsidP="008928F2">
            <w:pPr>
              <w:pStyle w:val="Table-Text"/>
            </w:pPr>
            <w:r w:rsidRPr="008928F2">
              <w:t>31 December 202</w:t>
            </w:r>
            <w:r w:rsidR="00187552">
              <w:t>3</w:t>
            </w:r>
          </w:p>
        </w:tc>
        <w:tc>
          <w:tcPr>
            <w:tcW w:w="3051" w:type="dxa"/>
            <w:tcBorders>
              <w:top w:val="single" w:sz="4" w:space="0" w:color="auto"/>
            </w:tcBorders>
          </w:tcPr>
          <w:p w14:paraId="560F3242" w14:textId="7E831A80" w:rsidR="00635705" w:rsidRPr="008928F2" w:rsidRDefault="00635705" w:rsidP="008928F2">
            <w:pPr>
              <w:pStyle w:val="Table-Text"/>
            </w:pPr>
            <w:r w:rsidRPr="008928F2">
              <w:t>Strategy</w:t>
            </w:r>
          </w:p>
        </w:tc>
      </w:tr>
      <w:tr w:rsidR="00635705" w:rsidRPr="008928F2" w14:paraId="0E865290" w14:textId="34031CE1" w:rsidTr="008D3FC1">
        <w:tc>
          <w:tcPr>
            <w:tcW w:w="714" w:type="dxa"/>
            <w:tcBorders>
              <w:bottom w:val="single" w:sz="4" w:space="0" w:color="auto"/>
            </w:tcBorders>
          </w:tcPr>
          <w:p w14:paraId="11ACA96C" w14:textId="670C1004" w:rsidR="00635705" w:rsidRPr="008928F2" w:rsidRDefault="00635705" w:rsidP="008928F2">
            <w:pPr>
              <w:pStyle w:val="Table-Text"/>
            </w:pPr>
            <w:r w:rsidRPr="008928F2">
              <w:t>6.</w:t>
            </w:r>
            <w:r w:rsidRPr="008928F2">
              <w:fldChar w:fldCharType="begin"/>
            </w:r>
            <w:r w:rsidRPr="008928F2">
              <w:instrText xml:space="preserve"> =MAX(Above)+1 </w:instrText>
            </w:r>
            <w:r w:rsidRPr="008928F2">
              <w:fldChar w:fldCharType="separate"/>
            </w:r>
            <w:r w:rsidRPr="008928F2">
              <w:t>3</w:t>
            </w:r>
            <w:r w:rsidRPr="008928F2">
              <w:fldChar w:fldCharType="end"/>
            </w:r>
          </w:p>
        </w:tc>
        <w:tc>
          <w:tcPr>
            <w:tcW w:w="4158" w:type="dxa"/>
            <w:tcBorders>
              <w:bottom w:val="single" w:sz="4" w:space="0" w:color="auto"/>
            </w:tcBorders>
          </w:tcPr>
          <w:p w14:paraId="0E3D43D3" w14:textId="3A067D4A" w:rsidR="00635705" w:rsidRPr="008928F2" w:rsidRDefault="00635705" w:rsidP="008928F2">
            <w:pPr>
              <w:pStyle w:val="Table-Text"/>
            </w:pPr>
            <w:r w:rsidRPr="008928F2">
              <w:t xml:space="preserve">Build a more sophisticated understanding of Youth Justice populations and trends </w:t>
            </w:r>
          </w:p>
        </w:tc>
        <w:tc>
          <w:tcPr>
            <w:tcW w:w="3093" w:type="dxa"/>
            <w:tcBorders>
              <w:bottom w:val="single" w:sz="4" w:space="0" w:color="auto"/>
            </w:tcBorders>
          </w:tcPr>
          <w:p w14:paraId="5FA2F624" w14:textId="77777777" w:rsidR="00635705" w:rsidRPr="008928F2" w:rsidRDefault="00635705" w:rsidP="008928F2">
            <w:pPr>
              <w:pStyle w:val="Table-Text"/>
            </w:pPr>
            <w:r w:rsidRPr="008928F2">
              <w:t>DCP</w:t>
            </w:r>
          </w:p>
          <w:p w14:paraId="02BCA487" w14:textId="66FD83D1" w:rsidR="00635705" w:rsidRPr="008928F2" w:rsidRDefault="00635705" w:rsidP="008928F2">
            <w:pPr>
              <w:pStyle w:val="Table-Text"/>
            </w:pPr>
            <w:r w:rsidRPr="008928F2">
              <w:t>SA Health</w:t>
            </w:r>
          </w:p>
          <w:p w14:paraId="4ABBE930" w14:textId="77777777" w:rsidR="00635705" w:rsidRPr="008928F2" w:rsidRDefault="00635705" w:rsidP="008928F2">
            <w:pPr>
              <w:pStyle w:val="Table-Text"/>
            </w:pPr>
            <w:r w:rsidRPr="008928F2">
              <w:t>Education</w:t>
            </w:r>
          </w:p>
          <w:p w14:paraId="0BC8F19F" w14:textId="77777777" w:rsidR="00635705" w:rsidRPr="008928F2" w:rsidRDefault="00635705" w:rsidP="008928F2">
            <w:pPr>
              <w:pStyle w:val="Table-Text"/>
            </w:pPr>
            <w:r w:rsidRPr="008928F2">
              <w:t>Universities</w:t>
            </w:r>
          </w:p>
          <w:p w14:paraId="6CE67042" w14:textId="0979D30A" w:rsidR="00635705" w:rsidRPr="008928F2" w:rsidRDefault="00635705" w:rsidP="008928F2">
            <w:pPr>
              <w:pStyle w:val="Table-Text"/>
            </w:pPr>
          </w:p>
        </w:tc>
        <w:tc>
          <w:tcPr>
            <w:tcW w:w="910" w:type="dxa"/>
            <w:tcBorders>
              <w:bottom w:val="single" w:sz="4" w:space="0" w:color="auto"/>
            </w:tcBorders>
          </w:tcPr>
          <w:p w14:paraId="0473057D" w14:textId="2FB372C0" w:rsidR="00635705" w:rsidRPr="008928F2" w:rsidRDefault="00635705" w:rsidP="008928F2">
            <w:pPr>
              <w:pStyle w:val="Table-Text"/>
            </w:pPr>
            <w:r w:rsidRPr="008928F2">
              <w:lastRenderedPageBreak/>
              <w:t>DHS</w:t>
            </w:r>
          </w:p>
        </w:tc>
        <w:tc>
          <w:tcPr>
            <w:tcW w:w="2296" w:type="dxa"/>
            <w:tcBorders>
              <w:bottom w:val="single" w:sz="4" w:space="0" w:color="auto"/>
            </w:tcBorders>
          </w:tcPr>
          <w:p w14:paraId="387E9097" w14:textId="0DBEB004" w:rsidR="00635705" w:rsidRPr="008928F2" w:rsidRDefault="00635705" w:rsidP="008928F2">
            <w:pPr>
              <w:pStyle w:val="Table-Text"/>
            </w:pPr>
            <w:r w:rsidRPr="008928F2">
              <w:t>30 June 2021</w:t>
            </w:r>
          </w:p>
        </w:tc>
        <w:tc>
          <w:tcPr>
            <w:tcW w:w="3051" w:type="dxa"/>
            <w:tcBorders>
              <w:bottom w:val="single" w:sz="4" w:space="0" w:color="auto"/>
            </w:tcBorders>
          </w:tcPr>
          <w:p w14:paraId="7677A8E5" w14:textId="214D094D" w:rsidR="00635705" w:rsidRPr="008928F2" w:rsidRDefault="00635705" w:rsidP="008928F2">
            <w:pPr>
              <w:pStyle w:val="Table-Text"/>
            </w:pPr>
            <w:r w:rsidRPr="008928F2">
              <w:t>Strategy</w:t>
            </w:r>
          </w:p>
        </w:tc>
      </w:tr>
      <w:tr w:rsidR="00635705" w:rsidRPr="008928F2" w14:paraId="5398CE0B" w14:textId="555AD745" w:rsidTr="008D3FC1">
        <w:tc>
          <w:tcPr>
            <w:tcW w:w="714" w:type="dxa"/>
            <w:tcBorders>
              <w:top w:val="single" w:sz="4" w:space="0" w:color="auto"/>
              <w:bottom w:val="single" w:sz="4" w:space="0" w:color="auto"/>
            </w:tcBorders>
          </w:tcPr>
          <w:p w14:paraId="56D9846C" w14:textId="332C4E2E" w:rsidR="00635705" w:rsidRPr="008928F2" w:rsidRDefault="00635705" w:rsidP="008928F2">
            <w:pPr>
              <w:pStyle w:val="Table-Text"/>
            </w:pPr>
            <w:r w:rsidRPr="008928F2">
              <w:t>6.</w:t>
            </w:r>
            <w:r w:rsidRPr="008928F2">
              <w:fldChar w:fldCharType="begin"/>
            </w:r>
            <w:r w:rsidRPr="008928F2">
              <w:instrText xml:space="preserve"> =MAX(Above)+1 </w:instrText>
            </w:r>
            <w:r w:rsidRPr="008928F2">
              <w:fldChar w:fldCharType="separate"/>
            </w:r>
            <w:r w:rsidRPr="008928F2">
              <w:t>4</w:t>
            </w:r>
            <w:r w:rsidRPr="008928F2">
              <w:fldChar w:fldCharType="end"/>
            </w:r>
          </w:p>
        </w:tc>
        <w:tc>
          <w:tcPr>
            <w:tcW w:w="4158" w:type="dxa"/>
            <w:tcBorders>
              <w:top w:val="single" w:sz="4" w:space="0" w:color="auto"/>
              <w:bottom w:val="single" w:sz="4" w:space="0" w:color="auto"/>
            </w:tcBorders>
          </w:tcPr>
          <w:p w14:paraId="7FEBD760" w14:textId="5A642864" w:rsidR="00635705" w:rsidRPr="008928F2" w:rsidRDefault="00635705" w:rsidP="008928F2">
            <w:pPr>
              <w:pStyle w:val="Table-Text"/>
            </w:pPr>
            <w:r w:rsidRPr="008928F2">
              <w:t>Ensure business intelligence and data sharing initiatives are on agendas for regular meetings with key service partners</w:t>
            </w:r>
          </w:p>
        </w:tc>
        <w:tc>
          <w:tcPr>
            <w:tcW w:w="3093" w:type="dxa"/>
            <w:tcBorders>
              <w:top w:val="single" w:sz="4" w:space="0" w:color="auto"/>
              <w:bottom w:val="single" w:sz="4" w:space="0" w:color="auto"/>
            </w:tcBorders>
          </w:tcPr>
          <w:p w14:paraId="20FF0003" w14:textId="77777777" w:rsidR="00635705" w:rsidRPr="008928F2" w:rsidRDefault="00635705" w:rsidP="008928F2">
            <w:pPr>
              <w:pStyle w:val="Table-Text"/>
            </w:pPr>
            <w:r w:rsidRPr="008928F2">
              <w:t>DCP</w:t>
            </w:r>
          </w:p>
          <w:p w14:paraId="5278F8A7" w14:textId="3040A44E" w:rsidR="00635705" w:rsidRPr="008928F2" w:rsidRDefault="00635705" w:rsidP="008928F2">
            <w:pPr>
              <w:pStyle w:val="Table-Text"/>
            </w:pPr>
            <w:r w:rsidRPr="008928F2">
              <w:t>Education</w:t>
            </w:r>
          </w:p>
          <w:p w14:paraId="7136AC92" w14:textId="1655C6C4" w:rsidR="00635705" w:rsidRPr="008928F2" w:rsidRDefault="00635705" w:rsidP="008928F2">
            <w:pPr>
              <w:pStyle w:val="Table-Text"/>
            </w:pPr>
            <w:r w:rsidRPr="008928F2">
              <w:t>SA Health</w:t>
            </w:r>
          </w:p>
          <w:p w14:paraId="336A75DA" w14:textId="20F29F33" w:rsidR="00635705" w:rsidRPr="008928F2" w:rsidRDefault="00635705" w:rsidP="008928F2">
            <w:pPr>
              <w:pStyle w:val="Table-Text"/>
            </w:pPr>
            <w:r w:rsidRPr="008928F2">
              <w:t>CAA</w:t>
            </w:r>
          </w:p>
        </w:tc>
        <w:tc>
          <w:tcPr>
            <w:tcW w:w="910" w:type="dxa"/>
            <w:tcBorders>
              <w:top w:val="single" w:sz="4" w:space="0" w:color="auto"/>
              <w:bottom w:val="single" w:sz="4" w:space="0" w:color="auto"/>
            </w:tcBorders>
          </w:tcPr>
          <w:p w14:paraId="6B94FAFE" w14:textId="6211AEEB" w:rsidR="00635705" w:rsidRPr="008928F2" w:rsidRDefault="00635705" w:rsidP="008928F2">
            <w:pPr>
              <w:pStyle w:val="Table-Text"/>
            </w:pPr>
            <w:r w:rsidRPr="008928F2">
              <w:t>Joint</w:t>
            </w:r>
          </w:p>
        </w:tc>
        <w:tc>
          <w:tcPr>
            <w:tcW w:w="2296" w:type="dxa"/>
            <w:tcBorders>
              <w:top w:val="single" w:sz="4" w:space="0" w:color="auto"/>
              <w:bottom w:val="single" w:sz="4" w:space="0" w:color="auto"/>
            </w:tcBorders>
          </w:tcPr>
          <w:p w14:paraId="20FB93F8" w14:textId="43C42ADA" w:rsidR="00635705" w:rsidRPr="008928F2" w:rsidRDefault="00635705" w:rsidP="008928F2">
            <w:pPr>
              <w:pStyle w:val="Table-Text"/>
            </w:pPr>
            <w:r w:rsidRPr="008928F2">
              <w:t>3</w:t>
            </w:r>
            <w:r w:rsidR="00187552">
              <w:t>1</w:t>
            </w:r>
            <w:r w:rsidRPr="008928F2">
              <w:t xml:space="preserve"> December 2020</w:t>
            </w:r>
          </w:p>
        </w:tc>
        <w:tc>
          <w:tcPr>
            <w:tcW w:w="3051" w:type="dxa"/>
            <w:tcBorders>
              <w:top w:val="single" w:sz="4" w:space="0" w:color="auto"/>
              <w:bottom w:val="single" w:sz="4" w:space="0" w:color="auto"/>
            </w:tcBorders>
          </w:tcPr>
          <w:p w14:paraId="19014278" w14:textId="18D378DC" w:rsidR="00635705" w:rsidRPr="008928F2" w:rsidRDefault="00635705" w:rsidP="008928F2">
            <w:pPr>
              <w:pStyle w:val="Table-Text"/>
            </w:pPr>
            <w:r w:rsidRPr="008928F2">
              <w:t>Strategy</w:t>
            </w:r>
          </w:p>
        </w:tc>
      </w:tr>
      <w:tr w:rsidR="00635705" w:rsidRPr="008928F2" w14:paraId="0E0C4C9B" w14:textId="27297D96" w:rsidTr="008D3FC1">
        <w:tc>
          <w:tcPr>
            <w:tcW w:w="714" w:type="dxa"/>
            <w:tcBorders>
              <w:top w:val="single" w:sz="4" w:space="0" w:color="auto"/>
              <w:bottom w:val="single" w:sz="4" w:space="0" w:color="auto"/>
            </w:tcBorders>
          </w:tcPr>
          <w:p w14:paraId="17B5C81C" w14:textId="73182B74" w:rsidR="00635705" w:rsidRPr="008928F2" w:rsidRDefault="00635705" w:rsidP="008928F2">
            <w:pPr>
              <w:pStyle w:val="Table-Text"/>
            </w:pPr>
            <w:r w:rsidRPr="008928F2">
              <w:t>6.</w:t>
            </w:r>
            <w:r w:rsidRPr="008928F2">
              <w:fldChar w:fldCharType="begin"/>
            </w:r>
            <w:r w:rsidRPr="008928F2">
              <w:instrText xml:space="preserve"> =MAX(Above)+1 </w:instrText>
            </w:r>
            <w:r w:rsidRPr="008928F2">
              <w:fldChar w:fldCharType="separate"/>
            </w:r>
            <w:r w:rsidRPr="008928F2">
              <w:t>5</w:t>
            </w:r>
            <w:r w:rsidRPr="008928F2">
              <w:fldChar w:fldCharType="end"/>
            </w:r>
          </w:p>
        </w:tc>
        <w:tc>
          <w:tcPr>
            <w:tcW w:w="4158" w:type="dxa"/>
            <w:tcBorders>
              <w:top w:val="single" w:sz="4" w:space="0" w:color="auto"/>
              <w:bottom w:val="single" w:sz="4" w:space="0" w:color="auto"/>
            </w:tcBorders>
          </w:tcPr>
          <w:p w14:paraId="0E20337F" w14:textId="4255EB02" w:rsidR="00635705" w:rsidRPr="008928F2" w:rsidRDefault="00635705" w:rsidP="008928F2">
            <w:pPr>
              <w:pStyle w:val="Table-Text"/>
            </w:pPr>
            <w:r w:rsidRPr="008928F2">
              <w:t>Progress a future-focused case management tool that connects logging requirements across Youth Justice services</w:t>
            </w:r>
          </w:p>
        </w:tc>
        <w:tc>
          <w:tcPr>
            <w:tcW w:w="3093" w:type="dxa"/>
            <w:tcBorders>
              <w:top w:val="single" w:sz="4" w:space="0" w:color="auto"/>
              <w:bottom w:val="single" w:sz="4" w:space="0" w:color="auto"/>
            </w:tcBorders>
          </w:tcPr>
          <w:p w14:paraId="765DDE73" w14:textId="7667AB57" w:rsidR="00635705" w:rsidRPr="008928F2" w:rsidRDefault="00D10FE6" w:rsidP="008928F2">
            <w:pPr>
              <w:pStyle w:val="Table-Text"/>
            </w:pPr>
            <w:r>
              <w:t>None</w:t>
            </w:r>
          </w:p>
        </w:tc>
        <w:tc>
          <w:tcPr>
            <w:tcW w:w="910" w:type="dxa"/>
            <w:tcBorders>
              <w:top w:val="single" w:sz="4" w:space="0" w:color="auto"/>
              <w:bottom w:val="single" w:sz="4" w:space="0" w:color="auto"/>
            </w:tcBorders>
          </w:tcPr>
          <w:p w14:paraId="44030128" w14:textId="0FD573A5" w:rsidR="00635705" w:rsidRPr="008928F2" w:rsidRDefault="00635705" w:rsidP="008928F2">
            <w:pPr>
              <w:pStyle w:val="Table-Text"/>
            </w:pPr>
            <w:r w:rsidRPr="008928F2">
              <w:t>DHS</w:t>
            </w:r>
          </w:p>
        </w:tc>
        <w:tc>
          <w:tcPr>
            <w:tcW w:w="2296" w:type="dxa"/>
            <w:tcBorders>
              <w:top w:val="single" w:sz="4" w:space="0" w:color="auto"/>
              <w:bottom w:val="single" w:sz="4" w:space="0" w:color="auto"/>
            </w:tcBorders>
          </w:tcPr>
          <w:p w14:paraId="37528B41" w14:textId="0190891A" w:rsidR="00635705" w:rsidRPr="008928F2" w:rsidRDefault="00635705" w:rsidP="008928F2">
            <w:pPr>
              <w:pStyle w:val="Table-Text"/>
            </w:pPr>
            <w:r w:rsidRPr="008928F2">
              <w:t>3</w:t>
            </w:r>
            <w:r w:rsidR="00CD5ACB">
              <w:t>1 July 2020</w:t>
            </w:r>
          </w:p>
        </w:tc>
        <w:tc>
          <w:tcPr>
            <w:tcW w:w="3051" w:type="dxa"/>
            <w:tcBorders>
              <w:top w:val="single" w:sz="4" w:space="0" w:color="auto"/>
              <w:bottom w:val="single" w:sz="4" w:space="0" w:color="auto"/>
            </w:tcBorders>
          </w:tcPr>
          <w:p w14:paraId="7DC39E9B" w14:textId="51B8C018" w:rsidR="00635705" w:rsidRPr="008928F2" w:rsidRDefault="00302232" w:rsidP="008928F2">
            <w:pPr>
              <w:pStyle w:val="Table-Text"/>
            </w:pPr>
            <w:r w:rsidRPr="00302232">
              <w:t>Strategy</w:t>
            </w:r>
            <w:r>
              <w:t xml:space="preserve"> </w:t>
            </w:r>
            <w:r w:rsidRPr="00302232">
              <w:t>and Operational</w:t>
            </w:r>
          </w:p>
        </w:tc>
      </w:tr>
      <w:tr w:rsidR="00635705" w:rsidRPr="008928F2" w14:paraId="69323162" w14:textId="77C0E31F" w:rsidTr="008D3FC1">
        <w:tc>
          <w:tcPr>
            <w:tcW w:w="714" w:type="dxa"/>
            <w:tcBorders>
              <w:top w:val="single" w:sz="4" w:space="0" w:color="auto"/>
              <w:bottom w:val="single" w:sz="4" w:space="0" w:color="auto"/>
            </w:tcBorders>
          </w:tcPr>
          <w:p w14:paraId="15227BD8" w14:textId="42CCFA44" w:rsidR="00635705" w:rsidRPr="008928F2" w:rsidRDefault="00635705" w:rsidP="008928F2">
            <w:pPr>
              <w:pStyle w:val="Table-Text"/>
            </w:pPr>
            <w:r w:rsidRPr="008928F2">
              <w:t>6.</w:t>
            </w:r>
            <w:r w:rsidRPr="008928F2">
              <w:fldChar w:fldCharType="begin"/>
            </w:r>
            <w:r w:rsidRPr="008928F2">
              <w:instrText xml:space="preserve"> =MAX(Above)+1 </w:instrText>
            </w:r>
            <w:r w:rsidRPr="008928F2">
              <w:fldChar w:fldCharType="separate"/>
            </w:r>
            <w:r w:rsidRPr="008928F2">
              <w:t>6</w:t>
            </w:r>
            <w:r w:rsidRPr="008928F2">
              <w:fldChar w:fldCharType="end"/>
            </w:r>
          </w:p>
        </w:tc>
        <w:tc>
          <w:tcPr>
            <w:tcW w:w="4158" w:type="dxa"/>
            <w:tcBorders>
              <w:top w:val="single" w:sz="4" w:space="0" w:color="auto"/>
              <w:bottom w:val="single" w:sz="4" w:space="0" w:color="auto"/>
            </w:tcBorders>
          </w:tcPr>
          <w:p w14:paraId="0C97E6B4" w14:textId="3B8A7CF6" w:rsidR="00635705" w:rsidRPr="008928F2" w:rsidRDefault="00635705" w:rsidP="008928F2">
            <w:pPr>
              <w:pStyle w:val="Table-Text"/>
            </w:pPr>
            <w:r w:rsidRPr="008928F2">
              <w:t>Conduct a micro-pilot as a try-test-learn for roaming tablet use by Youth Justice staff</w:t>
            </w:r>
          </w:p>
        </w:tc>
        <w:tc>
          <w:tcPr>
            <w:tcW w:w="3093" w:type="dxa"/>
            <w:tcBorders>
              <w:top w:val="single" w:sz="4" w:space="0" w:color="auto"/>
              <w:bottom w:val="single" w:sz="4" w:space="0" w:color="auto"/>
            </w:tcBorders>
          </w:tcPr>
          <w:p w14:paraId="5FEFB96A" w14:textId="10C47491" w:rsidR="00635705" w:rsidRPr="008928F2" w:rsidRDefault="00D10FE6" w:rsidP="008928F2">
            <w:pPr>
              <w:pStyle w:val="Table-Text"/>
            </w:pPr>
            <w:r>
              <w:t>None</w:t>
            </w:r>
          </w:p>
        </w:tc>
        <w:tc>
          <w:tcPr>
            <w:tcW w:w="910" w:type="dxa"/>
            <w:tcBorders>
              <w:top w:val="single" w:sz="4" w:space="0" w:color="auto"/>
              <w:bottom w:val="single" w:sz="4" w:space="0" w:color="auto"/>
            </w:tcBorders>
          </w:tcPr>
          <w:p w14:paraId="64346EB0" w14:textId="1DBD879F" w:rsidR="00635705" w:rsidRPr="008928F2" w:rsidRDefault="00635705" w:rsidP="008928F2">
            <w:pPr>
              <w:pStyle w:val="Table-Text"/>
            </w:pPr>
            <w:r w:rsidRPr="008928F2">
              <w:t>DHS</w:t>
            </w:r>
          </w:p>
        </w:tc>
        <w:tc>
          <w:tcPr>
            <w:tcW w:w="2296" w:type="dxa"/>
            <w:tcBorders>
              <w:top w:val="single" w:sz="4" w:space="0" w:color="auto"/>
              <w:bottom w:val="single" w:sz="4" w:space="0" w:color="auto"/>
            </w:tcBorders>
          </w:tcPr>
          <w:p w14:paraId="087884E4" w14:textId="1B94B55F" w:rsidR="00635705" w:rsidRPr="008928F2" w:rsidRDefault="00635705" w:rsidP="008928F2">
            <w:pPr>
              <w:pStyle w:val="Table-Text"/>
            </w:pPr>
            <w:r w:rsidRPr="008928F2">
              <w:t>30 June 2021</w:t>
            </w:r>
          </w:p>
        </w:tc>
        <w:tc>
          <w:tcPr>
            <w:tcW w:w="3051" w:type="dxa"/>
            <w:tcBorders>
              <w:top w:val="single" w:sz="4" w:space="0" w:color="auto"/>
              <w:bottom w:val="single" w:sz="4" w:space="0" w:color="auto"/>
            </w:tcBorders>
          </w:tcPr>
          <w:p w14:paraId="3DD626CE" w14:textId="72B6052D" w:rsidR="00635705" w:rsidRPr="008928F2" w:rsidRDefault="00302232" w:rsidP="008928F2">
            <w:pPr>
              <w:pStyle w:val="Table-Text"/>
            </w:pPr>
            <w:r w:rsidRPr="00302232">
              <w:t>Operational</w:t>
            </w:r>
          </w:p>
        </w:tc>
      </w:tr>
    </w:tbl>
    <w:p w14:paraId="2615BD11" w14:textId="15854A3F" w:rsidR="6E1BBF64" w:rsidRPr="00F70CD1" w:rsidRDefault="6E1BBF64" w:rsidP="00D82F62"/>
    <w:p w14:paraId="10EDDFAB" w14:textId="77777777" w:rsidR="00EF5DA1" w:rsidRDefault="00EF5DA1" w:rsidP="00D82F62">
      <w:pPr>
        <w:sectPr w:rsidR="00EF5DA1" w:rsidSect="00452928">
          <w:footerReference w:type="first" r:id="rId15"/>
          <w:pgSz w:w="16838" w:h="11906" w:orient="landscape"/>
          <w:pgMar w:top="1080" w:right="1440" w:bottom="1080" w:left="1440" w:header="708" w:footer="515" w:gutter="0"/>
          <w:cols w:space="708"/>
          <w:docGrid w:linePitch="360"/>
        </w:sectPr>
      </w:pPr>
    </w:p>
    <w:p w14:paraId="3E1D7C5B" w14:textId="36498A42" w:rsidR="6E1BBF64" w:rsidRPr="00452928" w:rsidRDefault="00C41C2C" w:rsidP="00D82F62">
      <w:pPr>
        <w:pStyle w:val="Heading2"/>
      </w:pPr>
      <w:bookmarkStart w:id="20" w:name="_Toc40782133"/>
      <w:r w:rsidRPr="00452928">
        <w:lastRenderedPageBreak/>
        <w:t>Abbreviations</w:t>
      </w:r>
      <w:bookmarkEnd w:id="20"/>
    </w:p>
    <w:p w14:paraId="111DBB9B" w14:textId="11A005EB" w:rsidR="00C17D9A" w:rsidRPr="00F71C20" w:rsidRDefault="00C17D9A" w:rsidP="00EF5DA1">
      <w:pPr>
        <w:spacing w:after="240"/>
        <w:ind w:left="1276" w:hanging="1276"/>
      </w:pPr>
      <w:r w:rsidRPr="00EF5DA1">
        <w:rPr>
          <w:b/>
        </w:rPr>
        <w:t xml:space="preserve">AAR </w:t>
      </w:r>
      <w:r w:rsidRPr="00F71C20">
        <w:tab/>
        <w:t>Aboriginal Affairs and Reconciliation (Department of the Premier and Cabinet)</w:t>
      </w:r>
    </w:p>
    <w:p w14:paraId="40635CF9" w14:textId="2F26A8BB" w:rsidR="00C64EF8" w:rsidRPr="00F71C20" w:rsidRDefault="00C64EF8" w:rsidP="00EF5DA1">
      <w:pPr>
        <w:spacing w:after="240"/>
        <w:ind w:left="1276" w:hanging="1276"/>
      </w:pPr>
      <w:r w:rsidRPr="00EF5DA1">
        <w:rPr>
          <w:b/>
        </w:rPr>
        <w:t>AGD</w:t>
      </w:r>
      <w:r w:rsidRPr="00F71C20">
        <w:tab/>
        <w:t>Attorney</w:t>
      </w:r>
      <w:r w:rsidR="00722F84">
        <w:t>-</w:t>
      </w:r>
      <w:r w:rsidRPr="00F71C20">
        <w:t>General’s Department</w:t>
      </w:r>
    </w:p>
    <w:p w14:paraId="3733ADE8" w14:textId="70B1BD47" w:rsidR="00C17D9A" w:rsidRPr="00F71C20" w:rsidRDefault="00C17D9A" w:rsidP="00EF5DA1">
      <w:pPr>
        <w:spacing w:after="240"/>
        <w:ind w:left="1276" w:hanging="1276"/>
      </w:pPr>
      <w:r w:rsidRPr="00EF5DA1">
        <w:rPr>
          <w:b/>
        </w:rPr>
        <w:t>CAA</w:t>
      </w:r>
      <w:r w:rsidRPr="00F71C20">
        <w:tab/>
        <w:t>Courts Administration Authority</w:t>
      </w:r>
    </w:p>
    <w:p w14:paraId="5C5E1A09" w14:textId="6DB74FEA" w:rsidR="00C41C2C" w:rsidRPr="00F71C20" w:rsidRDefault="006B239F" w:rsidP="00EF5DA1">
      <w:pPr>
        <w:spacing w:after="240"/>
        <w:ind w:left="1276" w:hanging="1276"/>
      </w:pPr>
      <w:r w:rsidRPr="00EF5DA1">
        <w:rPr>
          <w:b/>
        </w:rPr>
        <w:t xml:space="preserve">DCP </w:t>
      </w:r>
      <w:r w:rsidRPr="00F71C20">
        <w:tab/>
        <w:t>Department for Child Protection</w:t>
      </w:r>
    </w:p>
    <w:p w14:paraId="7098A58C" w14:textId="2C81BF6B" w:rsidR="00C17D9A" w:rsidRPr="00F71C20" w:rsidRDefault="00C17D9A" w:rsidP="00EF5DA1">
      <w:pPr>
        <w:spacing w:after="240"/>
        <w:ind w:left="1276" w:hanging="1276"/>
      </w:pPr>
      <w:r w:rsidRPr="00EF5DA1">
        <w:rPr>
          <w:b/>
        </w:rPr>
        <w:t xml:space="preserve">DCS </w:t>
      </w:r>
      <w:r w:rsidRPr="00F71C20">
        <w:tab/>
        <w:t>Department for Correctional Services</w:t>
      </w:r>
    </w:p>
    <w:p w14:paraId="33E58AC6" w14:textId="089925A5" w:rsidR="006B239F" w:rsidRPr="00F71C20" w:rsidRDefault="006B239F" w:rsidP="00EF5DA1">
      <w:pPr>
        <w:spacing w:after="240"/>
        <w:ind w:left="1276" w:hanging="1276"/>
      </w:pPr>
      <w:r w:rsidRPr="00EF5DA1">
        <w:rPr>
          <w:b/>
        </w:rPr>
        <w:t xml:space="preserve">Education </w:t>
      </w:r>
      <w:r w:rsidRPr="00F71C20">
        <w:tab/>
        <w:t xml:space="preserve">Department </w:t>
      </w:r>
      <w:r w:rsidR="009F07A4" w:rsidRPr="00F71C20">
        <w:t>for Education</w:t>
      </w:r>
    </w:p>
    <w:p w14:paraId="594B523F" w14:textId="7645E023" w:rsidR="00C17D9A" w:rsidRPr="00F71C20" w:rsidRDefault="00C17D9A" w:rsidP="00EF5DA1">
      <w:pPr>
        <w:spacing w:after="240"/>
        <w:ind w:left="1276" w:hanging="1276"/>
      </w:pPr>
      <w:r w:rsidRPr="00EF5DA1">
        <w:rPr>
          <w:b/>
        </w:rPr>
        <w:t>MAYFS</w:t>
      </w:r>
      <w:r w:rsidRPr="00F71C20">
        <w:t xml:space="preserve"> </w:t>
      </w:r>
      <w:r w:rsidRPr="00F71C20">
        <w:tab/>
        <w:t>Metropolitan Aboriginal Youth and Family Services (Department of Human Services)</w:t>
      </w:r>
    </w:p>
    <w:p w14:paraId="69D627F8" w14:textId="71B49D91" w:rsidR="00C17D9A" w:rsidRPr="00F71C20" w:rsidRDefault="00C17D9A" w:rsidP="00EF5DA1">
      <w:pPr>
        <w:spacing w:after="240"/>
        <w:ind w:left="1276" w:hanging="1276"/>
      </w:pPr>
      <w:r w:rsidRPr="00EF5DA1">
        <w:rPr>
          <w:b/>
        </w:rPr>
        <w:t xml:space="preserve">NGO </w:t>
      </w:r>
      <w:r w:rsidRPr="00F71C20">
        <w:tab/>
        <w:t>Non-Government Organisation</w:t>
      </w:r>
    </w:p>
    <w:p w14:paraId="56EC47A3" w14:textId="390DB172" w:rsidR="00D61A05" w:rsidRPr="00F71C20" w:rsidRDefault="00D61A05" w:rsidP="00EF5DA1">
      <w:pPr>
        <w:spacing w:after="240"/>
        <w:ind w:left="1276" w:hanging="1276"/>
      </w:pPr>
      <w:r w:rsidRPr="00EF5DA1">
        <w:rPr>
          <w:b/>
        </w:rPr>
        <w:t>OPCAT</w:t>
      </w:r>
      <w:r w:rsidRPr="00F71C20">
        <w:tab/>
        <w:t>Optional Protocol to the Convention Against Torture and Other Cruel, Inhuman or Degrading Treatment or Punishment</w:t>
      </w:r>
    </w:p>
    <w:p w14:paraId="206EBB1D" w14:textId="75DE2F00" w:rsidR="009F07A4" w:rsidRPr="00F71C20" w:rsidRDefault="009F07A4" w:rsidP="00EF5DA1">
      <w:pPr>
        <w:spacing w:after="240"/>
        <w:ind w:left="1276" w:hanging="1276"/>
      </w:pPr>
      <w:r w:rsidRPr="00EF5DA1">
        <w:rPr>
          <w:b/>
        </w:rPr>
        <w:t>SAPO</w:t>
      </w:r>
      <w:r w:rsidR="00EF5DA1" w:rsidRPr="00EF5DA1">
        <w:rPr>
          <w:b/>
        </w:rPr>
        <w:t>L</w:t>
      </w:r>
      <w:r w:rsidRPr="00F71C20">
        <w:tab/>
        <w:t>South Australia Police</w:t>
      </w:r>
    </w:p>
    <w:p w14:paraId="1B900A37" w14:textId="67BE1BD1" w:rsidR="00FC3B7F" w:rsidRPr="00F71C20" w:rsidRDefault="00FC3B7F" w:rsidP="00EF5DA1">
      <w:pPr>
        <w:spacing w:after="240"/>
        <w:ind w:left="1276" w:hanging="1276"/>
      </w:pPr>
      <w:r w:rsidRPr="00EF5DA1">
        <w:rPr>
          <w:b/>
        </w:rPr>
        <w:t xml:space="preserve">TCV </w:t>
      </w:r>
      <w:r w:rsidRPr="00F71C20">
        <w:tab/>
        <w:t>Training Centre Visitor</w:t>
      </w:r>
    </w:p>
    <w:p w14:paraId="4BD03B76" w14:textId="033E14D8" w:rsidR="00F71C20" w:rsidRDefault="002C069F" w:rsidP="00EF5DA1">
      <w:pPr>
        <w:spacing w:after="240"/>
        <w:ind w:left="1276" w:hanging="1276"/>
      </w:pPr>
      <w:r w:rsidRPr="00EF5DA1">
        <w:rPr>
          <w:b/>
        </w:rPr>
        <w:t xml:space="preserve">YJAAC </w:t>
      </w:r>
      <w:r w:rsidRPr="00F71C20">
        <w:tab/>
        <w:t>Youth Justice Aboriginal Advisory Committee</w:t>
      </w:r>
    </w:p>
    <w:p w14:paraId="40633478" w14:textId="77777777" w:rsidR="008928F2" w:rsidRDefault="008928F2">
      <w:pPr>
        <w:spacing w:before="0"/>
        <w:rPr>
          <w:rStyle w:val="Heading1Char"/>
          <w:b w:val="0"/>
          <w:bCs w:val="0"/>
        </w:rPr>
      </w:pPr>
      <w:bookmarkStart w:id="21" w:name="_Toc40782134"/>
      <w:r>
        <w:rPr>
          <w:rStyle w:val="Heading1Char"/>
        </w:rPr>
        <w:br w:type="page"/>
      </w:r>
    </w:p>
    <w:p w14:paraId="3BF5D5BA" w14:textId="19FAAA47" w:rsidR="1AAF83A0" w:rsidRPr="00574661" w:rsidRDefault="00172C14" w:rsidP="00574661">
      <w:pPr>
        <w:pStyle w:val="Heading2"/>
      </w:pPr>
      <w:r w:rsidRPr="00574661">
        <w:lastRenderedPageBreak/>
        <w:t>Glossary</w:t>
      </w:r>
      <w:bookmarkEnd w:id="21"/>
    </w:p>
    <w:p w14:paraId="4DD2F840" w14:textId="04E82648" w:rsidR="00C64EF8" w:rsidRPr="008928F2" w:rsidRDefault="00C64EF8" w:rsidP="00EF5DA1">
      <w:pPr>
        <w:spacing w:after="240"/>
        <w:ind w:left="2693" w:hanging="2693"/>
      </w:pPr>
      <w:r w:rsidRPr="00EF5DA1">
        <w:rPr>
          <w:b/>
        </w:rPr>
        <w:t>Aboriginal</w:t>
      </w:r>
      <w:r w:rsidRPr="00EF5DA1">
        <w:rPr>
          <w:b/>
        </w:rPr>
        <w:tab/>
      </w:r>
      <w:r w:rsidRPr="008928F2">
        <w:t>In this document “Aboriginal” refers to all Aboriginal and Torres Strait Islander peoples</w:t>
      </w:r>
      <w:r w:rsidR="006F5B9E" w:rsidRPr="008928F2">
        <w:t>.</w:t>
      </w:r>
    </w:p>
    <w:p w14:paraId="158131C1" w14:textId="591155E5" w:rsidR="006F5B9E" w:rsidRPr="008928F2" w:rsidRDefault="006F5B9E" w:rsidP="00EF5DA1">
      <w:pPr>
        <w:spacing w:after="240"/>
        <w:ind w:left="2693" w:hanging="2693"/>
      </w:pPr>
      <w:r w:rsidRPr="00EF5DA1">
        <w:rPr>
          <w:b/>
        </w:rPr>
        <w:t>Assessment</w:t>
      </w:r>
      <w:r w:rsidRPr="00EF5DA1">
        <w:rPr>
          <w:b/>
        </w:rPr>
        <w:tab/>
      </w:r>
      <w:proofErr w:type="spellStart"/>
      <w:r w:rsidRPr="008928F2">
        <w:t>Assessment</w:t>
      </w:r>
      <w:proofErr w:type="spellEnd"/>
      <w:r w:rsidRPr="008928F2">
        <w:t xml:space="preserve"> is the systematic collection, review, and purposeful use of client related information which may utilise standardised validated assessment tools, be primarily based on professional discretion, or a combination of both.</w:t>
      </w:r>
    </w:p>
    <w:p w14:paraId="77302CC4" w14:textId="091925CF" w:rsidR="00C64EF8" w:rsidRPr="008928F2" w:rsidRDefault="00C64EF8" w:rsidP="00EF5DA1">
      <w:pPr>
        <w:spacing w:after="240"/>
        <w:ind w:left="2693" w:hanging="2693"/>
      </w:pPr>
      <w:r w:rsidRPr="00EF5DA1">
        <w:rPr>
          <w:b/>
        </w:rPr>
        <w:t>Bail</w:t>
      </w:r>
      <w:r w:rsidRPr="00EF5DA1">
        <w:rPr>
          <w:b/>
        </w:rPr>
        <w:tab/>
      </w:r>
      <w:r w:rsidRPr="008928F2">
        <w:t>Following a period of remand, a court may order a child or young person to be released into the community pending the outcome of the trial. Bail may be supervised or unsupervised.</w:t>
      </w:r>
    </w:p>
    <w:p w14:paraId="57D379A5" w14:textId="24CC3418" w:rsidR="006F5B9E" w:rsidRPr="008928F2" w:rsidRDefault="006F5B9E" w:rsidP="00EF5DA1">
      <w:pPr>
        <w:spacing w:after="240"/>
        <w:ind w:left="2693" w:hanging="2693"/>
      </w:pPr>
      <w:r w:rsidRPr="00EF5DA1">
        <w:rPr>
          <w:b/>
        </w:rPr>
        <w:t>Carers</w:t>
      </w:r>
      <w:r w:rsidRPr="00EF5DA1">
        <w:rPr>
          <w:b/>
        </w:rPr>
        <w:tab/>
      </w:r>
      <w:r w:rsidRPr="008928F2">
        <w:t>Family members, guardians or friends who are responsible for the unpaid care of a client.</w:t>
      </w:r>
    </w:p>
    <w:p w14:paraId="7D334F5C" w14:textId="48F7318B" w:rsidR="006F5B9E" w:rsidRPr="008928F2" w:rsidRDefault="006F5B9E" w:rsidP="00EF5DA1">
      <w:pPr>
        <w:spacing w:after="240"/>
        <w:ind w:left="2693" w:hanging="2693"/>
      </w:pPr>
      <w:r w:rsidRPr="00EF5DA1">
        <w:rPr>
          <w:b/>
        </w:rPr>
        <w:t>Child</w:t>
      </w:r>
      <w:r w:rsidRPr="00EF5DA1">
        <w:rPr>
          <w:b/>
        </w:rPr>
        <w:tab/>
      </w:r>
      <w:r w:rsidRPr="008928F2">
        <w:t>A person under the age of 18 years.</w:t>
      </w:r>
    </w:p>
    <w:p w14:paraId="56F2000D" w14:textId="560F33AB" w:rsidR="006F5B9E" w:rsidRPr="008928F2" w:rsidRDefault="006F5B9E" w:rsidP="00EF5DA1">
      <w:pPr>
        <w:spacing w:after="240"/>
        <w:ind w:left="2693" w:hanging="2693"/>
      </w:pPr>
      <w:r w:rsidRPr="00EF5DA1">
        <w:rPr>
          <w:b/>
        </w:rPr>
        <w:t>Detention</w:t>
      </w:r>
      <w:r w:rsidRPr="00EF5DA1">
        <w:rPr>
          <w:b/>
        </w:rPr>
        <w:tab/>
      </w:r>
      <w:r w:rsidRPr="008928F2">
        <w:t xml:space="preserve">A sentencing option for courts when a young person is sentenced </w:t>
      </w:r>
      <w:r w:rsidR="006604AE" w:rsidRPr="008928F2">
        <w:t xml:space="preserve">to serve time in a training centre. South Australia’s only training centre is </w:t>
      </w:r>
      <w:r w:rsidR="00CB0789" w:rsidRPr="5BB17B76">
        <w:t>Kurlana Tapa Youth Justice Centre</w:t>
      </w:r>
      <w:r w:rsidR="006604AE" w:rsidRPr="008928F2">
        <w:t>.</w:t>
      </w:r>
    </w:p>
    <w:p w14:paraId="769DF20C" w14:textId="2D3BE03A" w:rsidR="0F65BB54" w:rsidRPr="008928F2" w:rsidRDefault="00C64EF8" w:rsidP="00EF5DA1">
      <w:pPr>
        <w:spacing w:after="240"/>
        <w:ind w:left="2693" w:hanging="2693"/>
      </w:pPr>
      <w:r w:rsidRPr="00EF5DA1">
        <w:rPr>
          <w:b/>
        </w:rPr>
        <w:t>Dual client</w:t>
      </w:r>
      <w:r w:rsidRPr="00EF5DA1">
        <w:rPr>
          <w:b/>
        </w:rPr>
        <w:tab/>
      </w:r>
      <w:r w:rsidRPr="008928F2">
        <w:t>A client of both Youth Justice (DHS) and the Department for Child Protection</w:t>
      </w:r>
      <w:r w:rsidR="006F5B9E" w:rsidRPr="008928F2">
        <w:t>.</w:t>
      </w:r>
    </w:p>
    <w:p w14:paraId="3CAFF7DB" w14:textId="6D15EA28" w:rsidR="006604AE" w:rsidRPr="008928F2" w:rsidRDefault="006604AE" w:rsidP="00EF5DA1">
      <w:pPr>
        <w:spacing w:after="240"/>
        <w:ind w:left="2693" w:hanging="2693"/>
      </w:pPr>
      <w:r w:rsidRPr="00EF5DA1">
        <w:rPr>
          <w:b/>
        </w:rPr>
        <w:t>Elders</w:t>
      </w:r>
      <w:r w:rsidRPr="00EF5DA1">
        <w:rPr>
          <w:b/>
        </w:rPr>
        <w:tab/>
      </w:r>
      <w:proofErr w:type="gramStart"/>
      <w:r w:rsidRPr="008928F2">
        <w:t>An</w:t>
      </w:r>
      <w:proofErr w:type="gramEnd"/>
      <w:r w:rsidRPr="008928F2">
        <w:t xml:space="preserve"> Aboriginal Elder is someone who has gained recognition within their community as a custodian of knowledge, and who has permission to disclose cultural knowledge and beliefs.</w:t>
      </w:r>
    </w:p>
    <w:p w14:paraId="46521FB9" w14:textId="7CC4FF9B" w:rsidR="006F5B9E" w:rsidRPr="008928F2" w:rsidRDefault="006F5B9E" w:rsidP="00EF5DA1">
      <w:pPr>
        <w:spacing w:after="240"/>
        <w:ind w:left="2693" w:hanging="2693"/>
      </w:pPr>
      <w:r w:rsidRPr="00EF5DA1">
        <w:rPr>
          <w:b/>
        </w:rPr>
        <w:t>Kurlana Tapa</w:t>
      </w:r>
      <w:r w:rsidRPr="00EF5DA1">
        <w:rPr>
          <w:b/>
        </w:rPr>
        <w:tab/>
      </w:r>
      <w:r w:rsidR="006604AE" w:rsidRPr="008928F2">
        <w:t xml:space="preserve">South Australia’s only training centre, which provides a safe and secure environment for young people in custody. </w:t>
      </w:r>
      <w:r w:rsidRPr="008928F2">
        <w:t>Kurlana Tapa means “New Path” in Kaurna language.</w:t>
      </w:r>
    </w:p>
    <w:p w14:paraId="7C6C1A36" w14:textId="0030B834" w:rsidR="0F65BB54" w:rsidRPr="008928F2" w:rsidRDefault="00C64EF8" w:rsidP="00EF5DA1">
      <w:pPr>
        <w:spacing w:after="240"/>
        <w:ind w:left="2693" w:hanging="2693"/>
      </w:pPr>
      <w:r w:rsidRPr="00EF5DA1">
        <w:rPr>
          <w:b/>
        </w:rPr>
        <w:t>Over-representation</w:t>
      </w:r>
      <w:r w:rsidRPr="008928F2">
        <w:tab/>
        <w:t xml:space="preserve">A disproportionate representation of a </w:t>
      </w:r>
      <w:proofErr w:type="gramStart"/>
      <w:r w:rsidRPr="008928F2">
        <w:t>particular cohort</w:t>
      </w:r>
      <w:proofErr w:type="gramEnd"/>
      <w:r w:rsidRPr="008928F2">
        <w:t>, such as Aboriginal children and young people in contact with the youth justice system.</w:t>
      </w:r>
    </w:p>
    <w:p w14:paraId="44A1136B" w14:textId="68174C19" w:rsidR="00857730" w:rsidRPr="008928F2" w:rsidRDefault="00C64EF8" w:rsidP="00EF5DA1">
      <w:pPr>
        <w:spacing w:after="240"/>
        <w:ind w:left="2693" w:hanging="2693"/>
      </w:pPr>
      <w:r w:rsidRPr="00EF5DA1">
        <w:rPr>
          <w:b/>
        </w:rPr>
        <w:t>Remand</w:t>
      </w:r>
      <w:r w:rsidRPr="00EF5DA1">
        <w:rPr>
          <w:b/>
        </w:rPr>
        <w:tab/>
      </w:r>
      <w:r w:rsidRPr="008928F2">
        <w:t>The act of placing in custody a child or young person who is accused of an offence to await trial or the continuation of the trial.</w:t>
      </w:r>
    </w:p>
    <w:p w14:paraId="603E552B" w14:textId="60CF578A" w:rsidR="006604AE" w:rsidRPr="008928F2" w:rsidRDefault="006604AE" w:rsidP="00EF5DA1">
      <w:pPr>
        <w:spacing w:after="240"/>
        <w:ind w:left="2693" w:hanging="2693"/>
      </w:pPr>
      <w:r w:rsidRPr="00EF5DA1">
        <w:rPr>
          <w:b/>
        </w:rPr>
        <w:t>Youth</w:t>
      </w:r>
      <w:r w:rsidRPr="00EF5DA1">
        <w:rPr>
          <w:b/>
        </w:rPr>
        <w:tab/>
      </w:r>
      <w:r w:rsidRPr="008928F2">
        <w:t xml:space="preserve">A person of or above the age of 10 years, but under the age of 18 years. In relation to proceedings for an offence, includes a person who was under the age of 18 years on the date of the alleged offence. </w:t>
      </w:r>
    </w:p>
    <w:sectPr w:rsidR="006604AE" w:rsidRPr="008928F2" w:rsidSect="00EF5DA1">
      <w:pgSz w:w="11906" w:h="16838"/>
      <w:pgMar w:top="1440" w:right="1077" w:bottom="1440" w:left="107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C8C6" w14:textId="77777777" w:rsidR="005D50DE" w:rsidRDefault="005D50DE" w:rsidP="00D82F62">
      <w:r>
        <w:separator/>
      </w:r>
    </w:p>
  </w:endnote>
  <w:endnote w:type="continuationSeparator" w:id="0">
    <w:p w14:paraId="295C5C44" w14:textId="77777777" w:rsidR="005D50DE" w:rsidRDefault="005D50DE" w:rsidP="00D82F62">
      <w:r>
        <w:continuationSeparator/>
      </w:r>
    </w:p>
  </w:endnote>
  <w:endnote w:type="continuationNotice" w:id="1">
    <w:p w14:paraId="2B4CE598" w14:textId="77777777" w:rsidR="005D50DE" w:rsidRDefault="005D50DE" w:rsidP="00D8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065331"/>
      <w:docPartObj>
        <w:docPartGallery w:val="Page Numbers (Bottom of Page)"/>
        <w:docPartUnique/>
      </w:docPartObj>
    </w:sdtPr>
    <w:sdtEndPr/>
    <w:sdtContent>
      <w:p w14:paraId="2668DFCA" w14:textId="3C970D2E" w:rsidR="00CB0789" w:rsidRPr="00954D0C" w:rsidRDefault="00CB0789" w:rsidP="00DB3BDB">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38</w:t>
        </w:r>
        <w:r>
          <w:rPr>
            <w:b/>
            <w:bCs/>
          </w:rPr>
          <w:fldChar w:fldCharType="end"/>
        </w:r>
      </w:p>
    </w:sdtContent>
  </w:sdt>
  <w:p w14:paraId="093748E7" w14:textId="77777777" w:rsidR="00CB0789" w:rsidRDefault="00CB0789" w:rsidP="00D8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0CB0789" w14:paraId="0EC8427B" w14:textId="77777777" w:rsidTr="1C3C61A8">
      <w:tc>
        <w:tcPr>
          <w:tcW w:w="4653" w:type="dxa"/>
        </w:tcPr>
        <w:p w14:paraId="498D6CE0" w14:textId="7A366766" w:rsidR="00CB0789" w:rsidRDefault="00CB0789" w:rsidP="00D82F62">
          <w:pPr>
            <w:pStyle w:val="Header"/>
          </w:pPr>
        </w:p>
      </w:tc>
      <w:tc>
        <w:tcPr>
          <w:tcW w:w="4653" w:type="dxa"/>
        </w:tcPr>
        <w:p w14:paraId="6D91FC81" w14:textId="22916ECB" w:rsidR="00CB0789" w:rsidRDefault="00CB0789" w:rsidP="00D82F62">
          <w:pPr>
            <w:pStyle w:val="Header"/>
          </w:pPr>
        </w:p>
      </w:tc>
      <w:tc>
        <w:tcPr>
          <w:tcW w:w="4653" w:type="dxa"/>
        </w:tcPr>
        <w:p w14:paraId="573DAED5" w14:textId="57F71421" w:rsidR="00CB0789" w:rsidRDefault="00CB0789" w:rsidP="00D82F62">
          <w:pPr>
            <w:pStyle w:val="Header"/>
          </w:pPr>
        </w:p>
      </w:tc>
    </w:tr>
  </w:tbl>
  <w:p w14:paraId="7199DAD6" w14:textId="209EAD08" w:rsidR="00CB0789" w:rsidRDefault="00CB0789" w:rsidP="00D8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5E1B7" w14:textId="77777777" w:rsidR="005D50DE" w:rsidRDefault="005D50DE" w:rsidP="00D82F62">
      <w:r>
        <w:separator/>
      </w:r>
    </w:p>
  </w:footnote>
  <w:footnote w:type="continuationSeparator" w:id="0">
    <w:p w14:paraId="770CC685" w14:textId="77777777" w:rsidR="005D50DE" w:rsidRDefault="005D50DE" w:rsidP="00D82F62">
      <w:r>
        <w:continuationSeparator/>
      </w:r>
    </w:p>
  </w:footnote>
  <w:footnote w:type="continuationNotice" w:id="1">
    <w:p w14:paraId="798CB87A" w14:textId="77777777" w:rsidR="005D50DE" w:rsidRDefault="005D50DE" w:rsidP="00D82F62"/>
  </w:footnote>
  <w:footnote w:id="2">
    <w:p w14:paraId="4E9EBFC4" w14:textId="2E326EA2" w:rsidR="00CB0789" w:rsidRPr="00EF3A49" w:rsidRDefault="00CB0789" w:rsidP="00D82F62">
      <w:pPr>
        <w:pStyle w:val="Footnote"/>
      </w:pPr>
      <w:r w:rsidRPr="00EF3A49">
        <w:rPr>
          <w:rStyle w:val="FootnoteReference"/>
          <w:vertAlign w:val="baseline"/>
        </w:rPr>
        <w:footnoteRef/>
      </w:r>
      <w:r w:rsidRPr="00EF3A49">
        <w:t xml:space="preserve"> Explanatory note: use of the term ‘</w:t>
      </w:r>
      <w:r w:rsidRPr="00EF3A49">
        <w:rPr>
          <w:b/>
          <w:bCs/>
        </w:rPr>
        <w:t>youth justice system</w:t>
      </w:r>
      <w:r w:rsidRPr="00EF3A49">
        <w:t>’ herein describes the tertiary response to offending behaviour, which includes court sanctions, statutory supervision and external providers working with these young people. Use of the term ‘</w:t>
      </w:r>
      <w:r w:rsidRPr="00EF3A49">
        <w:rPr>
          <w:b/>
          <w:bCs/>
        </w:rPr>
        <w:t>Youth Justice</w:t>
      </w:r>
      <w:r>
        <w:rPr>
          <w:b/>
          <w:bCs/>
        </w:rPr>
        <w:t xml:space="preserve"> Services</w:t>
      </w:r>
      <w:r w:rsidRPr="00EF3A49">
        <w:t xml:space="preserve">’ denotes the division of the Department of Human Services, which provides statutory supervision, as provided for in the </w:t>
      </w:r>
      <w:r w:rsidRPr="00D26C86">
        <w:rPr>
          <w:i/>
          <w:iCs/>
        </w:rPr>
        <w:t>Youth Justice Administration Act 2016</w:t>
      </w:r>
      <w:r w:rsidRPr="00EF3A49">
        <w:t>.</w:t>
      </w:r>
    </w:p>
  </w:footnote>
  <w:footnote w:id="3">
    <w:p w14:paraId="2984C4A5" w14:textId="18557D1F" w:rsidR="00CB0789" w:rsidRPr="00EF3A49" w:rsidRDefault="00CB0789" w:rsidP="00D82F62">
      <w:pPr>
        <w:pStyle w:val="Footnote"/>
      </w:pPr>
      <w:r w:rsidRPr="00EF3A49">
        <w:rPr>
          <w:rStyle w:val="FootnoteReference"/>
          <w:vertAlign w:val="baseline"/>
        </w:rPr>
        <w:footnoteRef/>
      </w:r>
      <w:r w:rsidRPr="00EF3A49">
        <w:t xml:space="preserve"> </w:t>
      </w:r>
      <w:bookmarkStart w:id="7" w:name="_Hlk35191313"/>
      <w:proofErr w:type="spellStart"/>
      <w:r w:rsidRPr="00B4333B">
        <w:t>Armytage</w:t>
      </w:r>
      <w:proofErr w:type="spellEnd"/>
      <w:r w:rsidRPr="00B4333B">
        <w:t xml:space="preserve"> and </w:t>
      </w:r>
      <w:proofErr w:type="spellStart"/>
      <w:r w:rsidRPr="00B4333B">
        <w:t>Ogloff</w:t>
      </w:r>
      <w:proofErr w:type="spellEnd"/>
      <w:r w:rsidRPr="00B4333B">
        <w:t xml:space="preserve"> (2017), Youth Justice Review and Strategy: meeting needs and reducing offending</w:t>
      </w:r>
      <w:r w:rsidRPr="00EF3A49">
        <w:t xml:space="preserve">. </w:t>
      </w:r>
      <w:bookmarkEnd w:id="7"/>
    </w:p>
  </w:footnote>
  <w:footnote w:id="4">
    <w:p w14:paraId="0041B47A" w14:textId="027BA7B4" w:rsidR="00CB0789" w:rsidRPr="00EF3A49" w:rsidRDefault="00CB0789" w:rsidP="00D82F62">
      <w:pPr>
        <w:pStyle w:val="Footnote"/>
      </w:pPr>
      <w:r w:rsidRPr="00EF3A49">
        <w:rPr>
          <w:rStyle w:val="FootnoteReference"/>
          <w:vertAlign w:val="baseline"/>
        </w:rPr>
        <w:footnoteRef/>
      </w:r>
      <w:r w:rsidRPr="00EF3A49">
        <w:t xml:space="preserve"> In accordance with the United Nations Convention on the Rights of the Child, the United Nations Declaration on the Rights of Aboriginal People, and relevant legislation including the </w:t>
      </w:r>
      <w:r w:rsidRPr="00D26C86">
        <w:rPr>
          <w:i/>
          <w:iCs/>
        </w:rPr>
        <w:t>Youth Justice Administration Act 2016</w:t>
      </w:r>
      <w:r w:rsidRPr="00EF3A49">
        <w:t>, the Youth Justice Administration Regulations, and the Charter of Rights for Youths Detained in Training Centres.</w:t>
      </w:r>
    </w:p>
  </w:footnote>
  <w:footnote w:id="5">
    <w:p w14:paraId="307AF328" w14:textId="78258989" w:rsidR="00CB0789" w:rsidRPr="006416B9" w:rsidRDefault="00CB0789" w:rsidP="00D82F62">
      <w:pPr>
        <w:pStyle w:val="Footnote"/>
      </w:pPr>
      <w:r w:rsidRPr="006416B9">
        <w:rPr>
          <w:rStyle w:val="FootnoteReference"/>
        </w:rPr>
        <w:footnoteRef/>
      </w:r>
      <w:r w:rsidRPr="006416B9">
        <w:t xml:space="preserve"> See “Governance and Accountability” section.</w:t>
      </w:r>
    </w:p>
  </w:footnote>
  <w:footnote w:id="6">
    <w:p w14:paraId="2697E779" w14:textId="662B8F64" w:rsidR="00CB0789" w:rsidRDefault="00CB0789" w:rsidP="00D82F62">
      <w:pPr>
        <w:pStyle w:val="Footnote"/>
      </w:pPr>
      <w:r>
        <w:rPr>
          <w:rStyle w:val="FootnoteReference"/>
        </w:rPr>
        <w:footnoteRef/>
      </w:r>
      <w:r>
        <w:t xml:space="preserve"> </w:t>
      </w:r>
      <w:hyperlink r:id="rId1" w:history="1">
        <w:r w:rsidRPr="00475187">
          <w:rPr>
            <w:rStyle w:val="Hyperlink"/>
          </w:rPr>
          <w:t>https://www.humanrights.gov.au/about/news/childrens-rights-must-come-first</w:t>
        </w:r>
      </w:hyperlink>
      <w:r>
        <w:t xml:space="preserve"> </w:t>
      </w:r>
    </w:p>
  </w:footnote>
  <w:footnote w:id="7">
    <w:p w14:paraId="03533EA9" w14:textId="77777777" w:rsidR="00CB0789" w:rsidRPr="00A310AF" w:rsidRDefault="00CB0789" w:rsidP="00D82F62">
      <w:pPr>
        <w:pStyle w:val="Footnote"/>
      </w:pPr>
      <w:r>
        <w:rPr>
          <w:rStyle w:val="FootnoteReference"/>
        </w:rPr>
        <w:footnoteRef/>
      </w:r>
      <w:r>
        <w:t xml:space="preserve"> See, for example, Bronfenbrenner’s Ecological Systems Theory</w:t>
      </w:r>
    </w:p>
  </w:footnote>
  <w:footnote w:id="8">
    <w:p w14:paraId="5F5A873B" w14:textId="3A62ABFC" w:rsidR="00CB0789" w:rsidRPr="008A159A" w:rsidRDefault="00CB0789" w:rsidP="008A159A">
      <w:pPr>
        <w:pStyle w:val="FootnoteText"/>
        <w:spacing w:before="0"/>
        <w:rPr>
          <w:lang w:val="en-US"/>
        </w:rPr>
      </w:pPr>
      <w:r>
        <w:rPr>
          <w:rStyle w:val="FootnoteReference"/>
        </w:rPr>
        <w:footnoteRef/>
      </w:r>
      <w:r>
        <w:t xml:space="preserve"> Australian Institute of Health and Welfare 2019. Youth Justice in Australia 2017–18. Cat. no. JUV 129. Canberra: AIHW.</w:t>
      </w:r>
    </w:p>
  </w:footnote>
  <w:footnote w:id="9">
    <w:p w14:paraId="354E1ABC" w14:textId="71DC12D6" w:rsidR="00CB0789" w:rsidRPr="000B0836" w:rsidRDefault="00CB0789" w:rsidP="00D82F62">
      <w:pPr>
        <w:pStyle w:val="Footnote"/>
      </w:pPr>
      <w:r w:rsidRPr="000B0836">
        <w:rPr>
          <w:rStyle w:val="FootnoteReference"/>
          <w:rFonts w:cstheme="minorHAnsi"/>
        </w:rPr>
        <w:footnoteRef/>
      </w:r>
      <w:r w:rsidRPr="000B0836">
        <w:t xml:space="preserve"> Royal Commission into the Protection and Detention of Children in the Northern Territory, [2017]</w:t>
      </w:r>
    </w:p>
  </w:footnote>
  <w:footnote w:id="10">
    <w:p w14:paraId="07F72DDE" w14:textId="6391F862" w:rsidR="00CB0789" w:rsidRPr="000B0836" w:rsidRDefault="00CB0789" w:rsidP="00D82F62">
      <w:pPr>
        <w:pStyle w:val="Footnote"/>
      </w:pPr>
      <w:r w:rsidRPr="000B0836">
        <w:rPr>
          <w:rStyle w:val="FootnoteReference"/>
          <w:rFonts w:cstheme="minorHAnsi"/>
        </w:rPr>
        <w:footnoteRef/>
      </w:r>
      <w:r w:rsidRPr="000B0836">
        <w:t xml:space="preserve"> Bower C, Watkins RE, </w:t>
      </w:r>
      <w:proofErr w:type="spellStart"/>
      <w:r w:rsidRPr="000B0836">
        <w:t>Mutch</w:t>
      </w:r>
      <w:proofErr w:type="spellEnd"/>
      <w:r w:rsidRPr="000B0836">
        <w:t xml:space="preserve"> RC, et al. Foetal alcohol spectrum disorder and youth justice: a prevalence study among young people sentenced to detention in Western Australia </w:t>
      </w:r>
      <w:r>
        <w:t>(</w:t>
      </w:r>
      <w:r w:rsidRPr="000B0836">
        <w:t xml:space="preserve">BMJ Open 2018; 8: e019605. </w:t>
      </w:r>
      <w:proofErr w:type="spellStart"/>
      <w:r w:rsidRPr="000B0836">
        <w:t>doi</w:t>
      </w:r>
      <w:proofErr w:type="spellEnd"/>
      <w:r w:rsidRPr="000B0836">
        <w:t>: 10.1136/bmjopen-2017-019605</w:t>
      </w:r>
      <w:r>
        <w:t>)</w:t>
      </w:r>
    </w:p>
  </w:footnote>
  <w:footnote w:id="11">
    <w:p w14:paraId="1B5D3BE9" w14:textId="2ED42863" w:rsidR="00CB0789" w:rsidRPr="000B0836" w:rsidRDefault="00CB0789" w:rsidP="00D82F62">
      <w:pPr>
        <w:pStyle w:val="Footnote"/>
      </w:pPr>
      <w:r w:rsidRPr="000B0836">
        <w:rPr>
          <w:rStyle w:val="FootnoteReference"/>
          <w:rFonts w:cstheme="minorHAnsi"/>
        </w:rPr>
        <w:footnoteRef/>
      </w:r>
      <w:r w:rsidRPr="000B0836">
        <w:t xml:space="preserve"> For example, see: Bower et al (2017); </w:t>
      </w:r>
      <w:proofErr w:type="spellStart"/>
      <w:r w:rsidRPr="000B0836">
        <w:t>Frize</w:t>
      </w:r>
      <w:proofErr w:type="spellEnd"/>
      <w:r w:rsidRPr="000B0836">
        <w:t xml:space="preserve">, Kenny &amp; </w:t>
      </w:r>
      <w:proofErr w:type="spellStart"/>
      <w:r w:rsidRPr="000B0836">
        <w:t>Lennings</w:t>
      </w:r>
      <w:proofErr w:type="spellEnd"/>
      <w:r w:rsidRPr="000B0836">
        <w:t xml:space="preserve"> (2008); and Snow, P.C., Bagley, K. and White, D. (2017).</w:t>
      </w:r>
      <w:r w:rsidRPr="000B0836">
        <w:rPr>
          <w:sz w:val="18"/>
          <w:szCs w:val="18"/>
        </w:rPr>
        <w:t xml:space="preserve"> </w:t>
      </w:r>
    </w:p>
  </w:footnote>
  <w:footnote w:id="12">
    <w:p w14:paraId="0A18FD87" w14:textId="6E15C8EA" w:rsidR="00CB0789" w:rsidRDefault="00CB0789" w:rsidP="00D82F62">
      <w:pPr>
        <w:pStyle w:val="Footnote"/>
      </w:pPr>
      <w:r>
        <w:rPr>
          <w:rStyle w:val="FootnoteReference"/>
        </w:rPr>
        <w:footnoteRef/>
      </w:r>
      <w:r>
        <w:t xml:space="preserve"> </w:t>
      </w:r>
      <w:proofErr w:type="spellStart"/>
      <w:r>
        <w:t>Armytage</w:t>
      </w:r>
      <w:proofErr w:type="spellEnd"/>
      <w:r>
        <w:t xml:space="preserve"> and </w:t>
      </w:r>
      <w:proofErr w:type="spellStart"/>
      <w:r>
        <w:t>Ogloff</w:t>
      </w:r>
      <w:proofErr w:type="spellEnd"/>
      <w:r>
        <w:t xml:space="preserve"> (2017), </w:t>
      </w:r>
      <w:r w:rsidRPr="00B2756B">
        <w:rPr>
          <w:lang w:val="en"/>
        </w:rPr>
        <w:t>Youth Justice Review and Strategy meeting needs and reducing offending</w:t>
      </w:r>
      <w:r>
        <w:t>.</w:t>
      </w:r>
    </w:p>
  </w:footnote>
  <w:footnote w:id="13">
    <w:p w14:paraId="1EFF21BE" w14:textId="0B73D320" w:rsidR="00CB0789" w:rsidRDefault="00CB0789" w:rsidP="00D82F62">
      <w:pPr>
        <w:pStyle w:val="Footnote"/>
      </w:pPr>
      <w:r>
        <w:rPr>
          <w:rStyle w:val="FootnoteReference"/>
        </w:rPr>
        <w:footnoteRef/>
      </w:r>
      <w:r>
        <w:t xml:space="preserve"> </w:t>
      </w:r>
      <w:r w:rsidRPr="002F41EA">
        <w:t>Turner, S. (2019). </w:t>
      </w:r>
      <w:r w:rsidRPr="002F41EA">
        <w:rPr>
          <w:i/>
          <w:iCs/>
        </w:rPr>
        <w:t xml:space="preserve">Rehabilitation and case management: What do the recent major reviews of youth justice tell </w:t>
      </w:r>
      <w:proofErr w:type="gramStart"/>
      <w:r w:rsidRPr="002F41EA">
        <w:rPr>
          <w:i/>
          <w:iCs/>
        </w:rPr>
        <w:t>us?</w:t>
      </w:r>
      <w:r w:rsidRPr="002F41EA">
        <w:t>.</w:t>
      </w:r>
      <w:proofErr w:type="gramEnd"/>
      <w:r w:rsidRPr="002F41EA">
        <w:t xml:space="preserve"> Abstract from Australasian Youth Justice Conference 2019, Sydney, Australia.</w:t>
      </w:r>
    </w:p>
  </w:footnote>
  <w:footnote w:id="14">
    <w:p w14:paraId="27D5D19C" w14:textId="36313867" w:rsidR="00CB0789" w:rsidRDefault="00CB0789" w:rsidP="00D82F62">
      <w:pPr>
        <w:pStyle w:val="Footnote"/>
      </w:pPr>
      <w:r>
        <w:rPr>
          <w:rStyle w:val="FootnoteReference"/>
        </w:rPr>
        <w:footnoteRef/>
      </w:r>
      <w:r>
        <w:t xml:space="preserve"> </w:t>
      </w:r>
      <w:r w:rsidRPr="6E1BBF64">
        <w:t xml:space="preserve">Productivity Commission (2020) </w:t>
      </w:r>
      <w:r w:rsidRPr="6E1BBF64">
        <w:rPr>
          <w:i/>
          <w:iCs/>
        </w:rPr>
        <w:t>Report on Government Services</w:t>
      </w:r>
      <w:r w:rsidRPr="6E1BBF64">
        <w:t xml:space="preserve"> Tables 17A.5, 17A.6, 17A.28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E7AF8"/>
    <w:multiLevelType w:val="hybridMultilevel"/>
    <w:tmpl w:val="7C2C4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F57E4F"/>
    <w:multiLevelType w:val="hybridMultilevel"/>
    <w:tmpl w:val="B44A1CAC"/>
    <w:lvl w:ilvl="0" w:tplc="6D9A180C">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C7E27"/>
    <w:multiLevelType w:val="hybridMultilevel"/>
    <w:tmpl w:val="BFD25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F61DFE"/>
    <w:multiLevelType w:val="hybridMultilevel"/>
    <w:tmpl w:val="0CB83706"/>
    <w:lvl w:ilvl="0" w:tplc="55A054E8">
      <w:start w:val="1"/>
      <w:numFmt w:val="lowerLetter"/>
      <w:pStyle w:val="Bullet-letter-inden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2797D47"/>
    <w:multiLevelType w:val="hybridMultilevel"/>
    <w:tmpl w:val="CF1AA2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8D2064F"/>
    <w:multiLevelType w:val="hybridMultilevel"/>
    <w:tmpl w:val="1716145A"/>
    <w:lvl w:ilvl="0" w:tplc="04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3A131F75"/>
    <w:multiLevelType w:val="hybridMultilevel"/>
    <w:tmpl w:val="EF24F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227B4A"/>
    <w:multiLevelType w:val="hybridMultilevel"/>
    <w:tmpl w:val="FC701640"/>
    <w:lvl w:ilvl="0" w:tplc="D338B9C4">
      <w:start w:val="1"/>
      <w:numFmt w:val="decimal"/>
      <w:pStyle w:val="Bullet-Numbered-Itali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355813"/>
    <w:multiLevelType w:val="hybridMultilevel"/>
    <w:tmpl w:val="4E685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406277"/>
    <w:multiLevelType w:val="hybridMultilevel"/>
    <w:tmpl w:val="8FB0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B8136E"/>
    <w:multiLevelType w:val="hybridMultilevel"/>
    <w:tmpl w:val="FD58C608"/>
    <w:lvl w:ilvl="0" w:tplc="198462F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23C1403"/>
    <w:multiLevelType w:val="hybridMultilevel"/>
    <w:tmpl w:val="A4D87FCE"/>
    <w:lvl w:ilvl="0" w:tplc="A2B8DC40">
      <w:start w:val="2020"/>
      <w:numFmt w:val="bullet"/>
      <w:pStyle w:val="Bullet-dash"/>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E0BD7"/>
    <w:multiLevelType w:val="hybridMultilevel"/>
    <w:tmpl w:val="BEC4EAB8"/>
    <w:lvl w:ilvl="0" w:tplc="FFFFFFFF">
      <w:start w:val="2020"/>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886251"/>
    <w:multiLevelType w:val="hybridMultilevel"/>
    <w:tmpl w:val="5308DDE2"/>
    <w:lvl w:ilvl="0" w:tplc="D56ADE46">
      <w:start w:val="1"/>
      <w:numFmt w:val="decimal"/>
      <w:pStyle w:val="Bulle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8D0E8C"/>
    <w:multiLevelType w:val="hybridMultilevel"/>
    <w:tmpl w:val="93D48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6E1F98"/>
    <w:multiLevelType w:val="hybridMultilevel"/>
    <w:tmpl w:val="40FA4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D1135D"/>
    <w:multiLevelType w:val="hybridMultilevel"/>
    <w:tmpl w:val="33A6B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E1640E"/>
    <w:multiLevelType w:val="hybridMultilevel"/>
    <w:tmpl w:val="8EFE3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092CA1"/>
    <w:multiLevelType w:val="hybridMultilevel"/>
    <w:tmpl w:val="9306E75A"/>
    <w:lvl w:ilvl="0" w:tplc="0C090001">
      <w:start w:val="1"/>
      <w:numFmt w:val="bullet"/>
      <w:lvlText w:val=""/>
      <w:lvlJc w:val="left"/>
      <w:pPr>
        <w:ind w:left="720" w:hanging="360"/>
      </w:pPr>
      <w:rPr>
        <w:rFonts w:ascii="Symbol" w:hAnsi="Symbol" w:hint="default"/>
      </w:rPr>
    </w:lvl>
    <w:lvl w:ilvl="1" w:tplc="FFFFFFFF">
      <w:start w:val="2020"/>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D53111"/>
    <w:multiLevelType w:val="hybridMultilevel"/>
    <w:tmpl w:val="3D52D406"/>
    <w:lvl w:ilvl="0" w:tplc="FFFFFFFF">
      <w:start w:val="2020"/>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0"/>
  </w:num>
  <w:num w:numId="5">
    <w:abstractNumId w:val="13"/>
  </w:num>
  <w:num w:numId="6">
    <w:abstractNumId w:val="3"/>
  </w:num>
  <w:num w:numId="7">
    <w:abstractNumId w:val="2"/>
  </w:num>
  <w:num w:numId="8">
    <w:abstractNumId w:val="14"/>
  </w:num>
  <w:num w:numId="9">
    <w:abstractNumId w:val="17"/>
  </w:num>
  <w:num w:numId="10">
    <w:abstractNumId w:val="8"/>
  </w:num>
  <w:num w:numId="11">
    <w:abstractNumId w:val="16"/>
  </w:num>
  <w:num w:numId="12">
    <w:abstractNumId w:val="12"/>
  </w:num>
  <w:num w:numId="13">
    <w:abstractNumId w:val="19"/>
  </w:num>
  <w:num w:numId="14">
    <w:abstractNumId w:val="10"/>
  </w:num>
  <w:num w:numId="15">
    <w:abstractNumId w:val="9"/>
  </w:num>
  <w:num w:numId="16">
    <w:abstractNumId w:val="6"/>
  </w:num>
  <w:num w:numId="17">
    <w:abstractNumId w:val="15"/>
  </w:num>
  <w:num w:numId="18">
    <w:abstractNumId w:val="4"/>
  </w:num>
  <w:num w:numId="19">
    <w:abstractNumId w:val="1"/>
  </w:num>
  <w:num w:numId="20">
    <w:abstractNumId w:val="7"/>
    <w:lvlOverride w:ilvl="0">
      <w:startOverride w:val="1"/>
    </w:lvlOverride>
  </w:num>
  <w:num w:numId="21">
    <w:abstractNumId w:val="7"/>
    <w:lvlOverride w:ilvl="0">
      <w:startOverride w:val="1"/>
    </w:lvlOverride>
  </w:num>
  <w:num w:numId="22">
    <w:abstractNumId w:val="13"/>
  </w:num>
  <w:num w:numId="23">
    <w:abstractNumId w:val="13"/>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D4"/>
    <w:rsid w:val="000007FE"/>
    <w:rsid w:val="00001CDD"/>
    <w:rsid w:val="00002554"/>
    <w:rsid w:val="00002742"/>
    <w:rsid w:val="00004992"/>
    <w:rsid w:val="00005AA3"/>
    <w:rsid w:val="00011D90"/>
    <w:rsid w:val="00012210"/>
    <w:rsid w:val="0001624F"/>
    <w:rsid w:val="00016A88"/>
    <w:rsid w:val="00017FCD"/>
    <w:rsid w:val="0002315B"/>
    <w:rsid w:val="0002430A"/>
    <w:rsid w:val="00025054"/>
    <w:rsid w:val="00027BC3"/>
    <w:rsid w:val="00027F06"/>
    <w:rsid w:val="00030AE4"/>
    <w:rsid w:val="00033488"/>
    <w:rsid w:val="000346B2"/>
    <w:rsid w:val="0003640B"/>
    <w:rsid w:val="00036C67"/>
    <w:rsid w:val="00041873"/>
    <w:rsid w:val="00041F90"/>
    <w:rsid w:val="0005054F"/>
    <w:rsid w:val="000521D3"/>
    <w:rsid w:val="00053898"/>
    <w:rsid w:val="000543B3"/>
    <w:rsid w:val="00055A4F"/>
    <w:rsid w:val="000637FF"/>
    <w:rsid w:val="0006462A"/>
    <w:rsid w:val="0006501D"/>
    <w:rsid w:val="00066C76"/>
    <w:rsid w:val="00067421"/>
    <w:rsid w:val="00067AC1"/>
    <w:rsid w:val="00067F6E"/>
    <w:rsid w:val="00073A13"/>
    <w:rsid w:val="000752D7"/>
    <w:rsid w:val="00077E52"/>
    <w:rsid w:val="00080BA5"/>
    <w:rsid w:val="000812AB"/>
    <w:rsid w:val="00083667"/>
    <w:rsid w:val="000859AB"/>
    <w:rsid w:val="00085AF5"/>
    <w:rsid w:val="00086C30"/>
    <w:rsid w:val="00086CC8"/>
    <w:rsid w:val="000901A5"/>
    <w:rsid w:val="0009304D"/>
    <w:rsid w:val="000938AC"/>
    <w:rsid w:val="00093BBD"/>
    <w:rsid w:val="00093F6D"/>
    <w:rsid w:val="00095C55"/>
    <w:rsid w:val="00097587"/>
    <w:rsid w:val="000A0768"/>
    <w:rsid w:val="000A1581"/>
    <w:rsid w:val="000A2333"/>
    <w:rsid w:val="000A2E80"/>
    <w:rsid w:val="000A2EE3"/>
    <w:rsid w:val="000A4858"/>
    <w:rsid w:val="000A4EFC"/>
    <w:rsid w:val="000A6B24"/>
    <w:rsid w:val="000B0836"/>
    <w:rsid w:val="000B1D0D"/>
    <w:rsid w:val="000B412A"/>
    <w:rsid w:val="000B46CD"/>
    <w:rsid w:val="000C1977"/>
    <w:rsid w:val="000C1AA2"/>
    <w:rsid w:val="000C27B8"/>
    <w:rsid w:val="000C5616"/>
    <w:rsid w:val="000C6B2F"/>
    <w:rsid w:val="000C6BB7"/>
    <w:rsid w:val="000D0E30"/>
    <w:rsid w:val="000D30DB"/>
    <w:rsid w:val="000D3664"/>
    <w:rsid w:val="000D51AD"/>
    <w:rsid w:val="000D53E4"/>
    <w:rsid w:val="000E2716"/>
    <w:rsid w:val="000E2E7B"/>
    <w:rsid w:val="000E3710"/>
    <w:rsid w:val="000E5031"/>
    <w:rsid w:val="000E58DD"/>
    <w:rsid w:val="000E6DF2"/>
    <w:rsid w:val="000E6F2F"/>
    <w:rsid w:val="000E790D"/>
    <w:rsid w:val="000F41F3"/>
    <w:rsid w:val="000F43E2"/>
    <w:rsid w:val="000F5193"/>
    <w:rsid w:val="000F5A7F"/>
    <w:rsid w:val="00101021"/>
    <w:rsid w:val="001039F3"/>
    <w:rsid w:val="00104E62"/>
    <w:rsid w:val="00105288"/>
    <w:rsid w:val="00105995"/>
    <w:rsid w:val="0010717C"/>
    <w:rsid w:val="00115151"/>
    <w:rsid w:val="0011542D"/>
    <w:rsid w:val="00124C9E"/>
    <w:rsid w:val="00125D39"/>
    <w:rsid w:val="00127F89"/>
    <w:rsid w:val="00130DEE"/>
    <w:rsid w:val="00130EF5"/>
    <w:rsid w:val="001329E8"/>
    <w:rsid w:val="00135CF9"/>
    <w:rsid w:val="00136897"/>
    <w:rsid w:val="0013716A"/>
    <w:rsid w:val="001408AD"/>
    <w:rsid w:val="00141278"/>
    <w:rsid w:val="00142388"/>
    <w:rsid w:val="0014429E"/>
    <w:rsid w:val="001450F7"/>
    <w:rsid w:val="001462F8"/>
    <w:rsid w:val="00150CDD"/>
    <w:rsid w:val="001514C0"/>
    <w:rsid w:val="00151FD9"/>
    <w:rsid w:val="00152BC3"/>
    <w:rsid w:val="0015389B"/>
    <w:rsid w:val="00155B9D"/>
    <w:rsid w:val="001615F8"/>
    <w:rsid w:val="00162CC7"/>
    <w:rsid w:val="0016375C"/>
    <w:rsid w:val="00170B8B"/>
    <w:rsid w:val="00172C14"/>
    <w:rsid w:val="00175F10"/>
    <w:rsid w:val="001779CB"/>
    <w:rsid w:val="00177A29"/>
    <w:rsid w:val="00177DF9"/>
    <w:rsid w:val="00181EC0"/>
    <w:rsid w:val="0018434E"/>
    <w:rsid w:val="00185338"/>
    <w:rsid w:val="00187552"/>
    <w:rsid w:val="00193765"/>
    <w:rsid w:val="00193943"/>
    <w:rsid w:val="0019543E"/>
    <w:rsid w:val="00195D3E"/>
    <w:rsid w:val="001965C6"/>
    <w:rsid w:val="0019667C"/>
    <w:rsid w:val="00196683"/>
    <w:rsid w:val="00197D3E"/>
    <w:rsid w:val="00197EE0"/>
    <w:rsid w:val="001A2487"/>
    <w:rsid w:val="001A2CE1"/>
    <w:rsid w:val="001B14E5"/>
    <w:rsid w:val="001B43BD"/>
    <w:rsid w:val="001B68CD"/>
    <w:rsid w:val="001B705B"/>
    <w:rsid w:val="001C0413"/>
    <w:rsid w:val="001C63EE"/>
    <w:rsid w:val="001C6DB2"/>
    <w:rsid w:val="001C7BCE"/>
    <w:rsid w:val="001D1029"/>
    <w:rsid w:val="001D2DD7"/>
    <w:rsid w:val="001D4118"/>
    <w:rsid w:val="001D5BCD"/>
    <w:rsid w:val="001E10D9"/>
    <w:rsid w:val="001E1DAD"/>
    <w:rsid w:val="001E255D"/>
    <w:rsid w:val="001E25F1"/>
    <w:rsid w:val="001E28C0"/>
    <w:rsid w:val="001F5BAD"/>
    <w:rsid w:val="002009B8"/>
    <w:rsid w:val="00200A68"/>
    <w:rsid w:val="00202391"/>
    <w:rsid w:val="00203983"/>
    <w:rsid w:val="00205C95"/>
    <w:rsid w:val="00205E62"/>
    <w:rsid w:val="00206DC9"/>
    <w:rsid w:val="00207E1C"/>
    <w:rsid w:val="00211DEF"/>
    <w:rsid w:val="002128B8"/>
    <w:rsid w:val="00212EA9"/>
    <w:rsid w:val="0021369C"/>
    <w:rsid w:val="0021614F"/>
    <w:rsid w:val="002163A6"/>
    <w:rsid w:val="002202BE"/>
    <w:rsid w:val="00222147"/>
    <w:rsid w:val="00230146"/>
    <w:rsid w:val="002350BE"/>
    <w:rsid w:val="00235DE4"/>
    <w:rsid w:val="0023675B"/>
    <w:rsid w:val="00236FA0"/>
    <w:rsid w:val="0024044E"/>
    <w:rsid w:val="00240ECB"/>
    <w:rsid w:val="00241F82"/>
    <w:rsid w:val="00244025"/>
    <w:rsid w:val="00245166"/>
    <w:rsid w:val="00246258"/>
    <w:rsid w:val="00250101"/>
    <w:rsid w:val="002510B7"/>
    <w:rsid w:val="00251775"/>
    <w:rsid w:val="00252B20"/>
    <w:rsid w:val="00257107"/>
    <w:rsid w:val="0025772B"/>
    <w:rsid w:val="00260C4F"/>
    <w:rsid w:val="00260CFC"/>
    <w:rsid w:val="00261274"/>
    <w:rsid w:val="00261A65"/>
    <w:rsid w:val="002628DE"/>
    <w:rsid w:val="00263012"/>
    <w:rsid w:val="00264604"/>
    <w:rsid w:val="002649A8"/>
    <w:rsid w:val="002656D4"/>
    <w:rsid w:val="00265A4A"/>
    <w:rsid w:val="002670B9"/>
    <w:rsid w:val="002678EA"/>
    <w:rsid w:val="00270C3E"/>
    <w:rsid w:val="00272E8B"/>
    <w:rsid w:val="002736D0"/>
    <w:rsid w:val="00277592"/>
    <w:rsid w:val="002809D4"/>
    <w:rsid w:val="00281BDA"/>
    <w:rsid w:val="00284B55"/>
    <w:rsid w:val="00286927"/>
    <w:rsid w:val="00286DF4"/>
    <w:rsid w:val="00290D03"/>
    <w:rsid w:val="002946C0"/>
    <w:rsid w:val="00296A9F"/>
    <w:rsid w:val="002A09D2"/>
    <w:rsid w:val="002A1D3C"/>
    <w:rsid w:val="002A2986"/>
    <w:rsid w:val="002A7BF4"/>
    <w:rsid w:val="002B2175"/>
    <w:rsid w:val="002B3CA6"/>
    <w:rsid w:val="002B6A57"/>
    <w:rsid w:val="002C069F"/>
    <w:rsid w:val="002C35BF"/>
    <w:rsid w:val="002C5181"/>
    <w:rsid w:val="002C6801"/>
    <w:rsid w:val="002D0439"/>
    <w:rsid w:val="002D235D"/>
    <w:rsid w:val="002D3A18"/>
    <w:rsid w:val="002D5816"/>
    <w:rsid w:val="002D7725"/>
    <w:rsid w:val="002D794C"/>
    <w:rsid w:val="002E0041"/>
    <w:rsid w:val="002E1EC9"/>
    <w:rsid w:val="002E2B00"/>
    <w:rsid w:val="002E514F"/>
    <w:rsid w:val="002E5A90"/>
    <w:rsid w:val="002E73B0"/>
    <w:rsid w:val="002F046F"/>
    <w:rsid w:val="002F14B9"/>
    <w:rsid w:val="002F2090"/>
    <w:rsid w:val="002F41EA"/>
    <w:rsid w:val="002F585F"/>
    <w:rsid w:val="002F76D4"/>
    <w:rsid w:val="002F7A57"/>
    <w:rsid w:val="00300968"/>
    <w:rsid w:val="00302011"/>
    <w:rsid w:val="00302232"/>
    <w:rsid w:val="00305354"/>
    <w:rsid w:val="00306357"/>
    <w:rsid w:val="0030688D"/>
    <w:rsid w:val="003077CF"/>
    <w:rsid w:val="003116CC"/>
    <w:rsid w:val="0031397F"/>
    <w:rsid w:val="00315074"/>
    <w:rsid w:val="00315141"/>
    <w:rsid w:val="00315847"/>
    <w:rsid w:val="00315A87"/>
    <w:rsid w:val="00315FD0"/>
    <w:rsid w:val="00316263"/>
    <w:rsid w:val="00320289"/>
    <w:rsid w:val="00322A12"/>
    <w:rsid w:val="0033048C"/>
    <w:rsid w:val="0033064B"/>
    <w:rsid w:val="00331E6D"/>
    <w:rsid w:val="00332131"/>
    <w:rsid w:val="003324A0"/>
    <w:rsid w:val="00332A87"/>
    <w:rsid w:val="00332D98"/>
    <w:rsid w:val="00333587"/>
    <w:rsid w:val="00333861"/>
    <w:rsid w:val="003345D8"/>
    <w:rsid w:val="00334D6C"/>
    <w:rsid w:val="003408C6"/>
    <w:rsid w:val="00343EFF"/>
    <w:rsid w:val="00347F93"/>
    <w:rsid w:val="003521C7"/>
    <w:rsid w:val="003528F5"/>
    <w:rsid w:val="00354E43"/>
    <w:rsid w:val="0035722A"/>
    <w:rsid w:val="00357513"/>
    <w:rsid w:val="00357C08"/>
    <w:rsid w:val="003601EA"/>
    <w:rsid w:val="0036151A"/>
    <w:rsid w:val="00362071"/>
    <w:rsid w:val="00363274"/>
    <w:rsid w:val="00363751"/>
    <w:rsid w:val="00365105"/>
    <w:rsid w:val="00365AD7"/>
    <w:rsid w:val="00366A5D"/>
    <w:rsid w:val="0037047C"/>
    <w:rsid w:val="00372111"/>
    <w:rsid w:val="00372991"/>
    <w:rsid w:val="00376596"/>
    <w:rsid w:val="00376B7B"/>
    <w:rsid w:val="00384228"/>
    <w:rsid w:val="00391D12"/>
    <w:rsid w:val="00393C91"/>
    <w:rsid w:val="00393E1A"/>
    <w:rsid w:val="00393FB7"/>
    <w:rsid w:val="0039454A"/>
    <w:rsid w:val="003A179D"/>
    <w:rsid w:val="003A2D14"/>
    <w:rsid w:val="003A2F2B"/>
    <w:rsid w:val="003A3EE5"/>
    <w:rsid w:val="003A4B9F"/>
    <w:rsid w:val="003A5E06"/>
    <w:rsid w:val="003B061B"/>
    <w:rsid w:val="003B2038"/>
    <w:rsid w:val="003B4BAB"/>
    <w:rsid w:val="003C25EF"/>
    <w:rsid w:val="003C27FD"/>
    <w:rsid w:val="003C4840"/>
    <w:rsid w:val="003C49BB"/>
    <w:rsid w:val="003C7CA3"/>
    <w:rsid w:val="003D28D9"/>
    <w:rsid w:val="003D7AF6"/>
    <w:rsid w:val="003E003D"/>
    <w:rsid w:val="003E1773"/>
    <w:rsid w:val="003E3461"/>
    <w:rsid w:val="003E53C5"/>
    <w:rsid w:val="003E5AC8"/>
    <w:rsid w:val="003E62EE"/>
    <w:rsid w:val="003E68B0"/>
    <w:rsid w:val="003E6C60"/>
    <w:rsid w:val="003F0575"/>
    <w:rsid w:val="003F0BE5"/>
    <w:rsid w:val="003F0D97"/>
    <w:rsid w:val="003F3BB8"/>
    <w:rsid w:val="003F4733"/>
    <w:rsid w:val="003F55D2"/>
    <w:rsid w:val="003F62CB"/>
    <w:rsid w:val="0040020F"/>
    <w:rsid w:val="00404CC3"/>
    <w:rsid w:val="00405CA7"/>
    <w:rsid w:val="00407550"/>
    <w:rsid w:val="00410A76"/>
    <w:rsid w:val="004134FA"/>
    <w:rsid w:val="00414DBB"/>
    <w:rsid w:val="00417F12"/>
    <w:rsid w:val="0043296D"/>
    <w:rsid w:val="00433021"/>
    <w:rsid w:val="00433B3D"/>
    <w:rsid w:val="00437F72"/>
    <w:rsid w:val="00444068"/>
    <w:rsid w:val="00447A51"/>
    <w:rsid w:val="00450604"/>
    <w:rsid w:val="00452187"/>
    <w:rsid w:val="00452928"/>
    <w:rsid w:val="0045352F"/>
    <w:rsid w:val="00454354"/>
    <w:rsid w:val="00457251"/>
    <w:rsid w:val="0046021F"/>
    <w:rsid w:val="00461A74"/>
    <w:rsid w:val="00461CB9"/>
    <w:rsid w:val="004634DA"/>
    <w:rsid w:val="00465557"/>
    <w:rsid w:val="00466A90"/>
    <w:rsid w:val="00467395"/>
    <w:rsid w:val="00471F0B"/>
    <w:rsid w:val="00473013"/>
    <w:rsid w:val="00475A7C"/>
    <w:rsid w:val="00481336"/>
    <w:rsid w:val="00486FC2"/>
    <w:rsid w:val="004907FC"/>
    <w:rsid w:val="00491974"/>
    <w:rsid w:val="00492AD5"/>
    <w:rsid w:val="0049563A"/>
    <w:rsid w:val="00497E46"/>
    <w:rsid w:val="004A0359"/>
    <w:rsid w:val="004A17CF"/>
    <w:rsid w:val="004A3AE0"/>
    <w:rsid w:val="004A5828"/>
    <w:rsid w:val="004B5B56"/>
    <w:rsid w:val="004C1A87"/>
    <w:rsid w:val="004C1F69"/>
    <w:rsid w:val="004C3678"/>
    <w:rsid w:val="004D0FDE"/>
    <w:rsid w:val="004D25C3"/>
    <w:rsid w:val="004D4E6E"/>
    <w:rsid w:val="004D5D70"/>
    <w:rsid w:val="004E04A7"/>
    <w:rsid w:val="004E4C7F"/>
    <w:rsid w:val="004E52B4"/>
    <w:rsid w:val="004E560F"/>
    <w:rsid w:val="004E784C"/>
    <w:rsid w:val="004F06A3"/>
    <w:rsid w:val="004F63C6"/>
    <w:rsid w:val="00501E7F"/>
    <w:rsid w:val="00502373"/>
    <w:rsid w:val="00504677"/>
    <w:rsid w:val="00504B75"/>
    <w:rsid w:val="00505D59"/>
    <w:rsid w:val="005134E0"/>
    <w:rsid w:val="0051686F"/>
    <w:rsid w:val="00517B9C"/>
    <w:rsid w:val="00521310"/>
    <w:rsid w:val="00521EB7"/>
    <w:rsid w:val="00523FF5"/>
    <w:rsid w:val="005245A1"/>
    <w:rsid w:val="00525011"/>
    <w:rsid w:val="005261EA"/>
    <w:rsid w:val="00526693"/>
    <w:rsid w:val="005272FA"/>
    <w:rsid w:val="00533895"/>
    <w:rsid w:val="0053412E"/>
    <w:rsid w:val="00535996"/>
    <w:rsid w:val="005400CB"/>
    <w:rsid w:val="005405C0"/>
    <w:rsid w:val="0054328E"/>
    <w:rsid w:val="005451CE"/>
    <w:rsid w:val="005474F9"/>
    <w:rsid w:val="00550587"/>
    <w:rsid w:val="00550E8B"/>
    <w:rsid w:val="00551E5F"/>
    <w:rsid w:val="00552D9D"/>
    <w:rsid w:val="0055323E"/>
    <w:rsid w:val="00553732"/>
    <w:rsid w:val="0055609C"/>
    <w:rsid w:val="005560DA"/>
    <w:rsid w:val="005567A8"/>
    <w:rsid w:val="00556906"/>
    <w:rsid w:val="00556ED0"/>
    <w:rsid w:val="005577F9"/>
    <w:rsid w:val="005607E7"/>
    <w:rsid w:val="005618F6"/>
    <w:rsid w:val="005648FE"/>
    <w:rsid w:val="005669A3"/>
    <w:rsid w:val="00567801"/>
    <w:rsid w:val="00567952"/>
    <w:rsid w:val="0057117B"/>
    <w:rsid w:val="00571908"/>
    <w:rsid w:val="00574661"/>
    <w:rsid w:val="005746C5"/>
    <w:rsid w:val="00580447"/>
    <w:rsid w:val="00582FA8"/>
    <w:rsid w:val="00583622"/>
    <w:rsid w:val="0058363F"/>
    <w:rsid w:val="00585B98"/>
    <w:rsid w:val="00586945"/>
    <w:rsid w:val="00586AD0"/>
    <w:rsid w:val="00591AC3"/>
    <w:rsid w:val="00591E26"/>
    <w:rsid w:val="00591FF2"/>
    <w:rsid w:val="00592CB6"/>
    <w:rsid w:val="00594176"/>
    <w:rsid w:val="0059464F"/>
    <w:rsid w:val="005974DD"/>
    <w:rsid w:val="005A18EA"/>
    <w:rsid w:val="005A31BA"/>
    <w:rsid w:val="005A470A"/>
    <w:rsid w:val="005A67BD"/>
    <w:rsid w:val="005B12C3"/>
    <w:rsid w:val="005B265C"/>
    <w:rsid w:val="005B2F11"/>
    <w:rsid w:val="005B3221"/>
    <w:rsid w:val="005B3EEC"/>
    <w:rsid w:val="005B5035"/>
    <w:rsid w:val="005C1AB9"/>
    <w:rsid w:val="005C2210"/>
    <w:rsid w:val="005C4C72"/>
    <w:rsid w:val="005C7177"/>
    <w:rsid w:val="005D088D"/>
    <w:rsid w:val="005D11EF"/>
    <w:rsid w:val="005D2FC1"/>
    <w:rsid w:val="005D50DE"/>
    <w:rsid w:val="005E23AA"/>
    <w:rsid w:val="005E29AF"/>
    <w:rsid w:val="005E30F5"/>
    <w:rsid w:val="005E35C8"/>
    <w:rsid w:val="005E402B"/>
    <w:rsid w:val="005E6928"/>
    <w:rsid w:val="005E71D0"/>
    <w:rsid w:val="005F01DA"/>
    <w:rsid w:val="005F0744"/>
    <w:rsid w:val="005F17D1"/>
    <w:rsid w:val="005F2521"/>
    <w:rsid w:val="005F2E69"/>
    <w:rsid w:val="005F461C"/>
    <w:rsid w:val="005F683A"/>
    <w:rsid w:val="006008D4"/>
    <w:rsid w:val="00600965"/>
    <w:rsid w:val="00603690"/>
    <w:rsid w:val="00603FAC"/>
    <w:rsid w:val="006046D7"/>
    <w:rsid w:val="00615E2F"/>
    <w:rsid w:val="0061689D"/>
    <w:rsid w:val="00620AD4"/>
    <w:rsid w:val="006221D2"/>
    <w:rsid w:val="0062234A"/>
    <w:rsid w:val="00622B16"/>
    <w:rsid w:val="006230FB"/>
    <w:rsid w:val="00623FB7"/>
    <w:rsid w:val="0062430B"/>
    <w:rsid w:val="00625517"/>
    <w:rsid w:val="00627D81"/>
    <w:rsid w:val="006330D0"/>
    <w:rsid w:val="0063357A"/>
    <w:rsid w:val="00634899"/>
    <w:rsid w:val="00634DAA"/>
    <w:rsid w:val="00635490"/>
    <w:rsid w:val="00635705"/>
    <w:rsid w:val="006363E5"/>
    <w:rsid w:val="00640064"/>
    <w:rsid w:val="00640C54"/>
    <w:rsid w:val="00640DE5"/>
    <w:rsid w:val="006416B9"/>
    <w:rsid w:val="00645A89"/>
    <w:rsid w:val="00655F55"/>
    <w:rsid w:val="006578CC"/>
    <w:rsid w:val="006604AE"/>
    <w:rsid w:val="006627FD"/>
    <w:rsid w:val="00665F41"/>
    <w:rsid w:val="00670879"/>
    <w:rsid w:val="00670EA4"/>
    <w:rsid w:val="00672857"/>
    <w:rsid w:val="0067342C"/>
    <w:rsid w:val="006749E3"/>
    <w:rsid w:val="00681149"/>
    <w:rsid w:val="00682C60"/>
    <w:rsid w:val="00683332"/>
    <w:rsid w:val="006838DA"/>
    <w:rsid w:val="006859E1"/>
    <w:rsid w:val="006863D9"/>
    <w:rsid w:val="0068640C"/>
    <w:rsid w:val="00686DCD"/>
    <w:rsid w:val="00687731"/>
    <w:rsid w:val="00690B44"/>
    <w:rsid w:val="00691793"/>
    <w:rsid w:val="006927AC"/>
    <w:rsid w:val="00695A87"/>
    <w:rsid w:val="006962C2"/>
    <w:rsid w:val="006A0E96"/>
    <w:rsid w:val="006A29C2"/>
    <w:rsid w:val="006A5EFB"/>
    <w:rsid w:val="006A7A75"/>
    <w:rsid w:val="006B239F"/>
    <w:rsid w:val="006B438F"/>
    <w:rsid w:val="006B4851"/>
    <w:rsid w:val="006B7063"/>
    <w:rsid w:val="006B7C5F"/>
    <w:rsid w:val="006C0CEF"/>
    <w:rsid w:val="006C17E9"/>
    <w:rsid w:val="006C1E9B"/>
    <w:rsid w:val="006C21D5"/>
    <w:rsid w:val="006C3D27"/>
    <w:rsid w:val="006C63CD"/>
    <w:rsid w:val="006C76EC"/>
    <w:rsid w:val="006D0699"/>
    <w:rsid w:val="006D2336"/>
    <w:rsid w:val="006D5447"/>
    <w:rsid w:val="006E0AC8"/>
    <w:rsid w:val="006E4FAE"/>
    <w:rsid w:val="006E52CF"/>
    <w:rsid w:val="006E6713"/>
    <w:rsid w:val="006E7859"/>
    <w:rsid w:val="006F1C6B"/>
    <w:rsid w:val="006F249A"/>
    <w:rsid w:val="006F376D"/>
    <w:rsid w:val="006F5B9E"/>
    <w:rsid w:val="006F6C97"/>
    <w:rsid w:val="00700416"/>
    <w:rsid w:val="0070069F"/>
    <w:rsid w:val="007030D2"/>
    <w:rsid w:val="007058B7"/>
    <w:rsid w:val="00705937"/>
    <w:rsid w:val="00705D83"/>
    <w:rsid w:val="00706061"/>
    <w:rsid w:val="00712D8F"/>
    <w:rsid w:val="00717DAB"/>
    <w:rsid w:val="00722F84"/>
    <w:rsid w:val="00725156"/>
    <w:rsid w:val="00725245"/>
    <w:rsid w:val="0072568C"/>
    <w:rsid w:val="007279A5"/>
    <w:rsid w:val="00731E3D"/>
    <w:rsid w:val="00734C85"/>
    <w:rsid w:val="00735F83"/>
    <w:rsid w:val="00740B1E"/>
    <w:rsid w:val="00743C88"/>
    <w:rsid w:val="0074404F"/>
    <w:rsid w:val="00745023"/>
    <w:rsid w:val="007453D0"/>
    <w:rsid w:val="007466FB"/>
    <w:rsid w:val="007476E9"/>
    <w:rsid w:val="00752660"/>
    <w:rsid w:val="007551D1"/>
    <w:rsid w:val="00755664"/>
    <w:rsid w:val="00755A9B"/>
    <w:rsid w:val="007603C0"/>
    <w:rsid w:val="007605F6"/>
    <w:rsid w:val="0076096B"/>
    <w:rsid w:val="00761888"/>
    <w:rsid w:val="00761F99"/>
    <w:rsid w:val="00762BED"/>
    <w:rsid w:val="00763132"/>
    <w:rsid w:val="00764017"/>
    <w:rsid w:val="00764158"/>
    <w:rsid w:val="007657C7"/>
    <w:rsid w:val="0077598A"/>
    <w:rsid w:val="0077766B"/>
    <w:rsid w:val="0078439E"/>
    <w:rsid w:val="00784EA0"/>
    <w:rsid w:val="00785600"/>
    <w:rsid w:val="007902B1"/>
    <w:rsid w:val="00791E4C"/>
    <w:rsid w:val="00792608"/>
    <w:rsid w:val="00793D0F"/>
    <w:rsid w:val="007949B7"/>
    <w:rsid w:val="00795D3E"/>
    <w:rsid w:val="007978BA"/>
    <w:rsid w:val="00797F23"/>
    <w:rsid w:val="007A2F0A"/>
    <w:rsid w:val="007A41EC"/>
    <w:rsid w:val="007B1048"/>
    <w:rsid w:val="007B3271"/>
    <w:rsid w:val="007B4D63"/>
    <w:rsid w:val="007B52C4"/>
    <w:rsid w:val="007C24FA"/>
    <w:rsid w:val="007C3AC4"/>
    <w:rsid w:val="007C470C"/>
    <w:rsid w:val="007C6B95"/>
    <w:rsid w:val="007C6D78"/>
    <w:rsid w:val="007D0CB1"/>
    <w:rsid w:val="007E0D5E"/>
    <w:rsid w:val="007E1419"/>
    <w:rsid w:val="007E1B95"/>
    <w:rsid w:val="007E3DBC"/>
    <w:rsid w:val="007E73FC"/>
    <w:rsid w:val="007F0C2C"/>
    <w:rsid w:val="007F1A73"/>
    <w:rsid w:val="007F20FA"/>
    <w:rsid w:val="007F4A74"/>
    <w:rsid w:val="007F537B"/>
    <w:rsid w:val="007F6D90"/>
    <w:rsid w:val="0080363A"/>
    <w:rsid w:val="00805DC6"/>
    <w:rsid w:val="008066C4"/>
    <w:rsid w:val="008143D9"/>
    <w:rsid w:val="00815201"/>
    <w:rsid w:val="008171A0"/>
    <w:rsid w:val="008204BF"/>
    <w:rsid w:val="00822FD4"/>
    <w:rsid w:val="008278A8"/>
    <w:rsid w:val="00830B68"/>
    <w:rsid w:val="00831A79"/>
    <w:rsid w:val="00832AA5"/>
    <w:rsid w:val="00832F09"/>
    <w:rsid w:val="0083311F"/>
    <w:rsid w:val="00833C22"/>
    <w:rsid w:val="0083607D"/>
    <w:rsid w:val="008370F6"/>
    <w:rsid w:val="008373EB"/>
    <w:rsid w:val="00842159"/>
    <w:rsid w:val="008437F4"/>
    <w:rsid w:val="00847281"/>
    <w:rsid w:val="008478DE"/>
    <w:rsid w:val="008526CA"/>
    <w:rsid w:val="00852E8A"/>
    <w:rsid w:val="00854CB2"/>
    <w:rsid w:val="00857730"/>
    <w:rsid w:val="00861417"/>
    <w:rsid w:val="0086676B"/>
    <w:rsid w:val="00866C90"/>
    <w:rsid w:val="008722CC"/>
    <w:rsid w:val="0087325B"/>
    <w:rsid w:val="008742DE"/>
    <w:rsid w:val="00874980"/>
    <w:rsid w:val="008758D2"/>
    <w:rsid w:val="008765C6"/>
    <w:rsid w:val="00880C05"/>
    <w:rsid w:val="00887359"/>
    <w:rsid w:val="00891259"/>
    <w:rsid w:val="0089177E"/>
    <w:rsid w:val="00891FB3"/>
    <w:rsid w:val="008928F2"/>
    <w:rsid w:val="008939E5"/>
    <w:rsid w:val="0089496B"/>
    <w:rsid w:val="00895DDD"/>
    <w:rsid w:val="00897185"/>
    <w:rsid w:val="008978B5"/>
    <w:rsid w:val="008A08F6"/>
    <w:rsid w:val="008A159A"/>
    <w:rsid w:val="008A42D6"/>
    <w:rsid w:val="008A46F0"/>
    <w:rsid w:val="008B2A79"/>
    <w:rsid w:val="008B33DD"/>
    <w:rsid w:val="008B60A4"/>
    <w:rsid w:val="008C1B6D"/>
    <w:rsid w:val="008C27F3"/>
    <w:rsid w:val="008C2810"/>
    <w:rsid w:val="008C4F13"/>
    <w:rsid w:val="008C4FF1"/>
    <w:rsid w:val="008C5016"/>
    <w:rsid w:val="008C76E0"/>
    <w:rsid w:val="008D2B49"/>
    <w:rsid w:val="008D2DD1"/>
    <w:rsid w:val="008D3FC1"/>
    <w:rsid w:val="008D4965"/>
    <w:rsid w:val="008D50F1"/>
    <w:rsid w:val="008D6379"/>
    <w:rsid w:val="008D7D4E"/>
    <w:rsid w:val="008D7E3E"/>
    <w:rsid w:val="008E1CB9"/>
    <w:rsid w:val="008E2DF8"/>
    <w:rsid w:val="008E3DC2"/>
    <w:rsid w:val="008E4F51"/>
    <w:rsid w:val="008E5910"/>
    <w:rsid w:val="008E6616"/>
    <w:rsid w:val="008E6C47"/>
    <w:rsid w:val="008F096E"/>
    <w:rsid w:val="008F0F9D"/>
    <w:rsid w:val="008F38C5"/>
    <w:rsid w:val="008F46D2"/>
    <w:rsid w:val="008F58B8"/>
    <w:rsid w:val="008F7609"/>
    <w:rsid w:val="00900F18"/>
    <w:rsid w:val="00901C58"/>
    <w:rsid w:val="009023BD"/>
    <w:rsid w:val="009050B0"/>
    <w:rsid w:val="00905F7D"/>
    <w:rsid w:val="00906FB9"/>
    <w:rsid w:val="009112C6"/>
    <w:rsid w:val="009125EB"/>
    <w:rsid w:val="00913B00"/>
    <w:rsid w:val="00914B2E"/>
    <w:rsid w:val="009156F8"/>
    <w:rsid w:val="00915C1B"/>
    <w:rsid w:val="0091687E"/>
    <w:rsid w:val="00916B79"/>
    <w:rsid w:val="00917218"/>
    <w:rsid w:val="00917ABB"/>
    <w:rsid w:val="00921752"/>
    <w:rsid w:val="00925179"/>
    <w:rsid w:val="00926E66"/>
    <w:rsid w:val="00927A61"/>
    <w:rsid w:val="00930F01"/>
    <w:rsid w:val="009366CF"/>
    <w:rsid w:val="00941F4E"/>
    <w:rsid w:val="00942F8E"/>
    <w:rsid w:val="009462B0"/>
    <w:rsid w:val="009467E0"/>
    <w:rsid w:val="00951A70"/>
    <w:rsid w:val="00953660"/>
    <w:rsid w:val="0095399E"/>
    <w:rsid w:val="00953A1C"/>
    <w:rsid w:val="00954D0C"/>
    <w:rsid w:val="00957A37"/>
    <w:rsid w:val="00957FD7"/>
    <w:rsid w:val="0096095C"/>
    <w:rsid w:val="00962216"/>
    <w:rsid w:val="009637C7"/>
    <w:rsid w:val="00963A4C"/>
    <w:rsid w:val="00964B16"/>
    <w:rsid w:val="00966DA2"/>
    <w:rsid w:val="00966DC9"/>
    <w:rsid w:val="00970F9B"/>
    <w:rsid w:val="00971666"/>
    <w:rsid w:val="00971A47"/>
    <w:rsid w:val="00974A5C"/>
    <w:rsid w:val="00980AAD"/>
    <w:rsid w:val="009812CC"/>
    <w:rsid w:val="00982DFC"/>
    <w:rsid w:val="009851F2"/>
    <w:rsid w:val="009907A8"/>
    <w:rsid w:val="009968BC"/>
    <w:rsid w:val="0099738A"/>
    <w:rsid w:val="009A6532"/>
    <w:rsid w:val="009A6598"/>
    <w:rsid w:val="009B1965"/>
    <w:rsid w:val="009B27FB"/>
    <w:rsid w:val="009B6C48"/>
    <w:rsid w:val="009C1584"/>
    <w:rsid w:val="009C4311"/>
    <w:rsid w:val="009C48FD"/>
    <w:rsid w:val="009D1F3B"/>
    <w:rsid w:val="009D3858"/>
    <w:rsid w:val="009D49D4"/>
    <w:rsid w:val="009D56ED"/>
    <w:rsid w:val="009D5DF6"/>
    <w:rsid w:val="009D6E7C"/>
    <w:rsid w:val="009D6E99"/>
    <w:rsid w:val="009E26B7"/>
    <w:rsid w:val="009E3CCD"/>
    <w:rsid w:val="009E452E"/>
    <w:rsid w:val="009F07A4"/>
    <w:rsid w:val="009F65B2"/>
    <w:rsid w:val="009F6E81"/>
    <w:rsid w:val="009F721B"/>
    <w:rsid w:val="00A021D2"/>
    <w:rsid w:val="00A02728"/>
    <w:rsid w:val="00A03078"/>
    <w:rsid w:val="00A0323B"/>
    <w:rsid w:val="00A06186"/>
    <w:rsid w:val="00A06903"/>
    <w:rsid w:val="00A07A25"/>
    <w:rsid w:val="00A15212"/>
    <w:rsid w:val="00A20400"/>
    <w:rsid w:val="00A21598"/>
    <w:rsid w:val="00A21963"/>
    <w:rsid w:val="00A21A04"/>
    <w:rsid w:val="00A24455"/>
    <w:rsid w:val="00A24600"/>
    <w:rsid w:val="00A268E8"/>
    <w:rsid w:val="00A27B59"/>
    <w:rsid w:val="00A3163F"/>
    <w:rsid w:val="00A31CA8"/>
    <w:rsid w:val="00A3316A"/>
    <w:rsid w:val="00A33847"/>
    <w:rsid w:val="00A33EEA"/>
    <w:rsid w:val="00A36C8C"/>
    <w:rsid w:val="00A41329"/>
    <w:rsid w:val="00A417D3"/>
    <w:rsid w:val="00A43AF9"/>
    <w:rsid w:val="00A462F2"/>
    <w:rsid w:val="00A50480"/>
    <w:rsid w:val="00A511BD"/>
    <w:rsid w:val="00A521A5"/>
    <w:rsid w:val="00A54FBA"/>
    <w:rsid w:val="00A55B67"/>
    <w:rsid w:val="00A55E1D"/>
    <w:rsid w:val="00A65578"/>
    <w:rsid w:val="00A74DC6"/>
    <w:rsid w:val="00A7732C"/>
    <w:rsid w:val="00A77976"/>
    <w:rsid w:val="00A77C3D"/>
    <w:rsid w:val="00A77CA6"/>
    <w:rsid w:val="00A80277"/>
    <w:rsid w:val="00A822E8"/>
    <w:rsid w:val="00A83A2B"/>
    <w:rsid w:val="00A83BAD"/>
    <w:rsid w:val="00A979C5"/>
    <w:rsid w:val="00AA17AC"/>
    <w:rsid w:val="00AA2E62"/>
    <w:rsid w:val="00AA474D"/>
    <w:rsid w:val="00AA4E13"/>
    <w:rsid w:val="00AA694E"/>
    <w:rsid w:val="00AB6992"/>
    <w:rsid w:val="00AC11CD"/>
    <w:rsid w:val="00AC6227"/>
    <w:rsid w:val="00AD3724"/>
    <w:rsid w:val="00AD762D"/>
    <w:rsid w:val="00AD77FA"/>
    <w:rsid w:val="00AE481F"/>
    <w:rsid w:val="00AE6B4E"/>
    <w:rsid w:val="00AF0433"/>
    <w:rsid w:val="00AF35B9"/>
    <w:rsid w:val="00B020ED"/>
    <w:rsid w:val="00B054A4"/>
    <w:rsid w:val="00B07835"/>
    <w:rsid w:val="00B107CF"/>
    <w:rsid w:val="00B148D4"/>
    <w:rsid w:val="00B17C41"/>
    <w:rsid w:val="00B2010E"/>
    <w:rsid w:val="00B21309"/>
    <w:rsid w:val="00B22B8E"/>
    <w:rsid w:val="00B266E9"/>
    <w:rsid w:val="00B274EE"/>
    <w:rsid w:val="00B2756B"/>
    <w:rsid w:val="00B27ABB"/>
    <w:rsid w:val="00B3572F"/>
    <w:rsid w:val="00B35D02"/>
    <w:rsid w:val="00B36CE3"/>
    <w:rsid w:val="00B40F25"/>
    <w:rsid w:val="00B416EC"/>
    <w:rsid w:val="00B4333B"/>
    <w:rsid w:val="00B43F42"/>
    <w:rsid w:val="00B5058A"/>
    <w:rsid w:val="00B52AB6"/>
    <w:rsid w:val="00B531F7"/>
    <w:rsid w:val="00B53FF8"/>
    <w:rsid w:val="00B54128"/>
    <w:rsid w:val="00B55CB0"/>
    <w:rsid w:val="00B56693"/>
    <w:rsid w:val="00B61C2C"/>
    <w:rsid w:val="00B62C64"/>
    <w:rsid w:val="00B65233"/>
    <w:rsid w:val="00B66A37"/>
    <w:rsid w:val="00B73611"/>
    <w:rsid w:val="00B74604"/>
    <w:rsid w:val="00B76CF1"/>
    <w:rsid w:val="00B771AA"/>
    <w:rsid w:val="00B77AEC"/>
    <w:rsid w:val="00B802FD"/>
    <w:rsid w:val="00B80431"/>
    <w:rsid w:val="00B81CBF"/>
    <w:rsid w:val="00B82DE7"/>
    <w:rsid w:val="00B82E6A"/>
    <w:rsid w:val="00B8345E"/>
    <w:rsid w:val="00B84060"/>
    <w:rsid w:val="00B86253"/>
    <w:rsid w:val="00B9425A"/>
    <w:rsid w:val="00B9513D"/>
    <w:rsid w:val="00B97627"/>
    <w:rsid w:val="00BA1765"/>
    <w:rsid w:val="00BA199E"/>
    <w:rsid w:val="00BB197E"/>
    <w:rsid w:val="00BB2A0D"/>
    <w:rsid w:val="00BB2C89"/>
    <w:rsid w:val="00BB2ECD"/>
    <w:rsid w:val="00BB2EF1"/>
    <w:rsid w:val="00BB5297"/>
    <w:rsid w:val="00BB5477"/>
    <w:rsid w:val="00BB5FC7"/>
    <w:rsid w:val="00BC1057"/>
    <w:rsid w:val="00BC22E0"/>
    <w:rsid w:val="00BC4EFD"/>
    <w:rsid w:val="00BC6BA9"/>
    <w:rsid w:val="00BC6C60"/>
    <w:rsid w:val="00BC76FE"/>
    <w:rsid w:val="00BC7BCB"/>
    <w:rsid w:val="00BD405C"/>
    <w:rsid w:val="00BD4721"/>
    <w:rsid w:val="00BE2B46"/>
    <w:rsid w:val="00BE334E"/>
    <w:rsid w:val="00BE5379"/>
    <w:rsid w:val="00BE62F5"/>
    <w:rsid w:val="00BE77AC"/>
    <w:rsid w:val="00BF09D8"/>
    <w:rsid w:val="00BF0A84"/>
    <w:rsid w:val="00BF58FF"/>
    <w:rsid w:val="00BF5E3E"/>
    <w:rsid w:val="00C00850"/>
    <w:rsid w:val="00C00905"/>
    <w:rsid w:val="00C01D58"/>
    <w:rsid w:val="00C02941"/>
    <w:rsid w:val="00C02AD9"/>
    <w:rsid w:val="00C02BD0"/>
    <w:rsid w:val="00C03767"/>
    <w:rsid w:val="00C07005"/>
    <w:rsid w:val="00C10C3E"/>
    <w:rsid w:val="00C11ED7"/>
    <w:rsid w:val="00C12190"/>
    <w:rsid w:val="00C122F6"/>
    <w:rsid w:val="00C12602"/>
    <w:rsid w:val="00C12BD6"/>
    <w:rsid w:val="00C1448E"/>
    <w:rsid w:val="00C16E98"/>
    <w:rsid w:val="00C17D9A"/>
    <w:rsid w:val="00C21E92"/>
    <w:rsid w:val="00C23B68"/>
    <w:rsid w:val="00C24B17"/>
    <w:rsid w:val="00C27661"/>
    <w:rsid w:val="00C2789C"/>
    <w:rsid w:val="00C2797E"/>
    <w:rsid w:val="00C34D6B"/>
    <w:rsid w:val="00C35CD0"/>
    <w:rsid w:val="00C35EEF"/>
    <w:rsid w:val="00C3767A"/>
    <w:rsid w:val="00C376F1"/>
    <w:rsid w:val="00C41C2C"/>
    <w:rsid w:val="00C4580E"/>
    <w:rsid w:val="00C466D6"/>
    <w:rsid w:val="00C47035"/>
    <w:rsid w:val="00C52917"/>
    <w:rsid w:val="00C54593"/>
    <w:rsid w:val="00C548DB"/>
    <w:rsid w:val="00C56F48"/>
    <w:rsid w:val="00C57BB4"/>
    <w:rsid w:val="00C57EB9"/>
    <w:rsid w:val="00C60C45"/>
    <w:rsid w:val="00C628EB"/>
    <w:rsid w:val="00C64EF8"/>
    <w:rsid w:val="00C6641E"/>
    <w:rsid w:val="00C70487"/>
    <w:rsid w:val="00C73187"/>
    <w:rsid w:val="00C73E76"/>
    <w:rsid w:val="00C73F87"/>
    <w:rsid w:val="00C750F8"/>
    <w:rsid w:val="00C75E8D"/>
    <w:rsid w:val="00C77534"/>
    <w:rsid w:val="00C806B4"/>
    <w:rsid w:val="00C825AE"/>
    <w:rsid w:val="00C83B79"/>
    <w:rsid w:val="00C84A07"/>
    <w:rsid w:val="00C85420"/>
    <w:rsid w:val="00C87ABB"/>
    <w:rsid w:val="00C92E50"/>
    <w:rsid w:val="00C9406B"/>
    <w:rsid w:val="00C946C6"/>
    <w:rsid w:val="00C94750"/>
    <w:rsid w:val="00C94987"/>
    <w:rsid w:val="00C96297"/>
    <w:rsid w:val="00CA034F"/>
    <w:rsid w:val="00CA0BE6"/>
    <w:rsid w:val="00CA3956"/>
    <w:rsid w:val="00CA3BF7"/>
    <w:rsid w:val="00CA7B3B"/>
    <w:rsid w:val="00CA7FF9"/>
    <w:rsid w:val="00CB0789"/>
    <w:rsid w:val="00CB0D85"/>
    <w:rsid w:val="00CB14A0"/>
    <w:rsid w:val="00CB16F8"/>
    <w:rsid w:val="00CB2F4F"/>
    <w:rsid w:val="00CB2F60"/>
    <w:rsid w:val="00CB47B1"/>
    <w:rsid w:val="00CB5032"/>
    <w:rsid w:val="00CB5ABE"/>
    <w:rsid w:val="00CB6BDA"/>
    <w:rsid w:val="00CB77CB"/>
    <w:rsid w:val="00CC0CC8"/>
    <w:rsid w:val="00CC31F9"/>
    <w:rsid w:val="00CC3F1D"/>
    <w:rsid w:val="00CC4D10"/>
    <w:rsid w:val="00CD07B2"/>
    <w:rsid w:val="00CD0ABF"/>
    <w:rsid w:val="00CD14B8"/>
    <w:rsid w:val="00CD1A5A"/>
    <w:rsid w:val="00CD3135"/>
    <w:rsid w:val="00CD319A"/>
    <w:rsid w:val="00CD4B73"/>
    <w:rsid w:val="00CD55B7"/>
    <w:rsid w:val="00CD56F4"/>
    <w:rsid w:val="00CD5ACB"/>
    <w:rsid w:val="00CD6120"/>
    <w:rsid w:val="00CD6E2F"/>
    <w:rsid w:val="00CE09B8"/>
    <w:rsid w:val="00CE5407"/>
    <w:rsid w:val="00CE61A4"/>
    <w:rsid w:val="00CF180D"/>
    <w:rsid w:val="00CF1CD1"/>
    <w:rsid w:val="00CF1EBC"/>
    <w:rsid w:val="00CF2E01"/>
    <w:rsid w:val="00CF361C"/>
    <w:rsid w:val="00CF6386"/>
    <w:rsid w:val="00D001A4"/>
    <w:rsid w:val="00D023DB"/>
    <w:rsid w:val="00D04AFE"/>
    <w:rsid w:val="00D07D7E"/>
    <w:rsid w:val="00D10FE6"/>
    <w:rsid w:val="00D1121E"/>
    <w:rsid w:val="00D13E5E"/>
    <w:rsid w:val="00D16785"/>
    <w:rsid w:val="00D220CD"/>
    <w:rsid w:val="00D268FA"/>
    <w:rsid w:val="00D26C86"/>
    <w:rsid w:val="00D30109"/>
    <w:rsid w:val="00D327DE"/>
    <w:rsid w:val="00D3318C"/>
    <w:rsid w:val="00D345B1"/>
    <w:rsid w:val="00D42826"/>
    <w:rsid w:val="00D42D97"/>
    <w:rsid w:val="00D4343C"/>
    <w:rsid w:val="00D44236"/>
    <w:rsid w:val="00D47696"/>
    <w:rsid w:val="00D50B71"/>
    <w:rsid w:val="00D51FFF"/>
    <w:rsid w:val="00D52AE8"/>
    <w:rsid w:val="00D555DB"/>
    <w:rsid w:val="00D57A8F"/>
    <w:rsid w:val="00D61332"/>
    <w:rsid w:val="00D61629"/>
    <w:rsid w:val="00D61A05"/>
    <w:rsid w:val="00D638EF"/>
    <w:rsid w:val="00D647CE"/>
    <w:rsid w:val="00D6715D"/>
    <w:rsid w:val="00D6790F"/>
    <w:rsid w:val="00D70ABA"/>
    <w:rsid w:val="00D72629"/>
    <w:rsid w:val="00D7313E"/>
    <w:rsid w:val="00D73D26"/>
    <w:rsid w:val="00D778C0"/>
    <w:rsid w:val="00D77A36"/>
    <w:rsid w:val="00D8148E"/>
    <w:rsid w:val="00D82F62"/>
    <w:rsid w:val="00D83651"/>
    <w:rsid w:val="00D84E60"/>
    <w:rsid w:val="00D8672E"/>
    <w:rsid w:val="00D87303"/>
    <w:rsid w:val="00D900ED"/>
    <w:rsid w:val="00D92AF9"/>
    <w:rsid w:val="00D92C8B"/>
    <w:rsid w:val="00D951B9"/>
    <w:rsid w:val="00D95CFD"/>
    <w:rsid w:val="00DA1557"/>
    <w:rsid w:val="00DA3259"/>
    <w:rsid w:val="00DA4CB9"/>
    <w:rsid w:val="00DA6DDA"/>
    <w:rsid w:val="00DB3BDB"/>
    <w:rsid w:val="00DB6285"/>
    <w:rsid w:val="00DB73FF"/>
    <w:rsid w:val="00DB76C5"/>
    <w:rsid w:val="00DC1736"/>
    <w:rsid w:val="00DC2331"/>
    <w:rsid w:val="00DC2CA5"/>
    <w:rsid w:val="00DC2F2B"/>
    <w:rsid w:val="00DC3FAC"/>
    <w:rsid w:val="00DC5510"/>
    <w:rsid w:val="00DD1CA5"/>
    <w:rsid w:val="00DD2404"/>
    <w:rsid w:val="00DD61BA"/>
    <w:rsid w:val="00DE3800"/>
    <w:rsid w:val="00DE3D32"/>
    <w:rsid w:val="00DE4DAB"/>
    <w:rsid w:val="00DF1509"/>
    <w:rsid w:val="00DF5C56"/>
    <w:rsid w:val="00DF6D1D"/>
    <w:rsid w:val="00E04852"/>
    <w:rsid w:val="00E050FB"/>
    <w:rsid w:val="00E12A51"/>
    <w:rsid w:val="00E13ACD"/>
    <w:rsid w:val="00E168D8"/>
    <w:rsid w:val="00E208CD"/>
    <w:rsid w:val="00E20DC2"/>
    <w:rsid w:val="00E20E12"/>
    <w:rsid w:val="00E22740"/>
    <w:rsid w:val="00E23D15"/>
    <w:rsid w:val="00E24AC7"/>
    <w:rsid w:val="00E25BCE"/>
    <w:rsid w:val="00E25BD8"/>
    <w:rsid w:val="00E30066"/>
    <w:rsid w:val="00E36D6A"/>
    <w:rsid w:val="00E36E8F"/>
    <w:rsid w:val="00E37059"/>
    <w:rsid w:val="00E41E67"/>
    <w:rsid w:val="00E4498C"/>
    <w:rsid w:val="00E475B5"/>
    <w:rsid w:val="00E5171E"/>
    <w:rsid w:val="00E534F3"/>
    <w:rsid w:val="00E56938"/>
    <w:rsid w:val="00E642DE"/>
    <w:rsid w:val="00E66B45"/>
    <w:rsid w:val="00E73060"/>
    <w:rsid w:val="00E7350D"/>
    <w:rsid w:val="00E7409E"/>
    <w:rsid w:val="00E7491D"/>
    <w:rsid w:val="00E77F2F"/>
    <w:rsid w:val="00E80322"/>
    <w:rsid w:val="00E80CAF"/>
    <w:rsid w:val="00E8726A"/>
    <w:rsid w:val="00E87742"/>
    <w:rsid w:val="00E9025F"/>
    <w:rsid w:val="00E90675"/>
    <w:rsid w:val="00E9073F"/>
    <w:rsid w:val="00E90C79"/>
    <w:rsid w:val="00E91504"/>
    <w:rsid w:val="00E91D94"/>
    <w:rsid w:val="00E93107"/>
    <w:rsid w:val="00E94E4B"/>
    <w:rsid w:val="00E955C9"/>
    <w:rsid w:val="00E959D2"/>
    <w:rsid w:val="00E96645"/>
    <w:rsid w:val="00E967BE"/>
    <w:rsid w:val="00EA0A54"/>
    <w:rsid w:val="00EA108F"/>
    <w:rsid w:val="00EA1E65"/>
    <w:rsid w:val="00EA3788"/>
    <w:rsid w:val="00EA3CD5"/>
    <w:rsid w:val="00EA7CAA"/>
    <w:rsid w:val="00EB0DE5"/>
    <w:rsid w:val="00EB49DB"/>
    <w:rsid w:val="00EB5AFD"/>
    <w:rsid w:val="00EC0D25"/>
    <w:rsid w:val="00EC0E2A"/>
    <w:rsid w:val="00EC2A2D"/>
    <w:rsid w:val="00EC474F"/>
    <w:rsid w:val="00EC74A8"/>
    <w:rsid w:val="00EC7515"/>
    <w:rsid w:val="00ED2D5E"/>
    <w:rsid w:val="00EE326B"/>
    <w:rsid w:val="00EE3B76"/>
    <w:rsid w:val="00EE4DE6"/>
    <w:rsid w:val="00EE744B"/>
    <w:rsid w:val="00EF2C38"/>
    <w:rsid w:val="00EF3A49"/>
    <w:rsid w:val="00EF5DA1"/>
    <w:rsid w:val="00EF7B84"/>
    <w:rsid w:val="00F02366"/>
    <w:rsid w:val="00F02E1D"/>
    <w:rsid w:val="00F0343D"/>
    <w:rsid w:val="00F0371F"/>
    <w:rsid w:val="00F064D1"/>
    <w:rsid w:val="00F11E41"/>
    <w:rsid w:val="00F1479A"/>
    <w:rsid w:val="00F15295"/>
    <w:rsid w:val="00F1668B"/>
    <w:rsid w:val="00F17F4D"/>
    <w:rsid w:val="00F218BF"/>
    <w:rsid w:val="00F2464F"/>
    <w:rsid w:val="00F2660B"/>
    <w:rsid w:val="00F3062C"/>
    <w:rsid w:val="00F32519"/>
    <w:rsid w:val="00F32568"/>
    <w:rsid w:val="00F342B6"/>
    <w:rsid w:val="00F356F3"/>
    <w:rsid w:val="00F368FA"/>
    <w:rsid w:val="00F37260"/>
    <w:rsid w:val="00F41222"/>
    <w:rsid w:val="00F415F6"/>
    <w:rsid w:val="00F42649"/>
    <w:rsid w:val="00F445AE"/>
    <w:rsid w:val="00F44A0E"/>
    <w:rsid w:val="00F44BBB"/>
    <w:rsid w:val="00F465F3"/>
    <w:rsid w:val="00F46E7C"/>
    <w:rsid w:val="00F473F0"/>
    <w:rsid w:val="00F47489"/>
    <w:rsid w:val="00F47DD9"/>
    <w:rsid w:val="00F50980"/>
    <w:rsid w:val="00F542B4"/>
    <w:rsid w:val="00F554AF"/>
    <w:rsid w:val="00F6351D"/>
    <w:rsid w:val="00F65CF9"/>
    <w:rsid w:val="00F66086"/>
    <w:rsid w:val="00F66326"/>
    <w:rsid w:val="00F70CD1"/>
    <w:rsid w:val="00F70F62"/>
    <w:rsid w:val="00F71C20"/>
    <w:rsid w:val="00F72AD5"/>
    <w:rsid w:val="00F74081"/>
    <w:rsid w:val="00F7544D"/>
    <w:rsid w:val="00F75552"/>
    <w:rsid w:val="00F75ED1"/>
    <w:rsid w:val="00F75F8E"/>
    <w:rsid w:val="00F80D32"/>
    <w:rsid w:val="00F8370F"/>
    <w:rsid w:val="00F903F0"/>
    <w:rsid w:val="00F916F8"/>
    <w:rsid w:val="00F921CF"/>
    <w:rsid w:val="00F97329"/>
    <w:rsid w:val="00F97590"/>
    <w:rsid w:val="00F97C1B"/>
    <w:rsid w:val="00FA0652"/>
    <w:rsid w:val="00FA1617"/>
    <w:rsid w:val="00FA33BB"/>
    <w:rsid w:val="00FA4994"/>
    <w:rsid w:val="00FA53B7"/>
    <w:rsid w:val="00FA5AD0"/>
    <w:rsid w:val="00FA6E8A"/>
    <w:rsid w:val="00FA743F"/>
    <w:rsid w:val="00FA7C6B"/>
    <w:rsid w:val="00FB15D6"/>
    <w:rsid w:val="00FB1765"/>
    <w:rsid w:val="00FB2508"/>
    <w:rsid w:val="00FB5DE8"/>
    <w:rsid w:val="00FB7494"/>
    <w:rsid w:val="00FC0AE5"/>
    <w:rsid w:val="00FC3B7F"/>
    <w:rsid w:val="00FC3BAB"/>
    <w:rsid w:val="00FC5E27"/>
    <w:rsid w:val="00FD2FA0"/>
    <w:rsid w:val="00FD3266"/>
    <w:rsid w:val="00FD4318"/>
    <w:rsid w:val="00FE24FC"/>
    <w:rsid w:val="00FE3242"/>
    <w:rsid w:val="00FE3499"/>
    <w:rsid w:val="00FE4438"/>
    <w:rsid w:val="00FE53B6"/>
    <w:rsid w:val="00FF1989"/>
    <w:rsid w:val="00FF4E5C"/>
    <w:rsid w:val="00FF576F"/>
    <w:rsid w:val="00FF57F4"/>
    <w:rsid w:val="00FF6E11"/>
    <w:rsid w:val="011573D8"/>
    <w:rsid w:val="01222966"/>
    <w:rsid w:val="0198DC9B"/>
    <w:rsid w:val="020FB7CF"/>
    <w:rsid w:val="023B7AF7"/>
    <w:rsid w:val="02536F47"/>
    <w:rsid w:val="03167619"/>
    <w:rsid w:val="035D193F"/>
    <w:rsid w:val="0442567A"/>
    <w:rsid w:val="0513D346"/>
    <w:rsid w:val="05E40D06"/>
    <w:rsid w:val="05EB8801"/>
    <w:rsid w:val="061C4070"/>
    <w:rsid w:val="067537A9"/>
    <w:rsid w:val="069EA8C8"/>
    <w:rsid w:val="0705360C"/>
    <w:rsid w:val="075DAE6C"/>
    <w:rsid w:val="07601A28"/>
    <w:rsid w:val="07989D71"/>
    <w:rsid w:val="07D8114D"/>
    <w:rsid w:val="080A1400"/>
    <w:rsid w:val="08756534"/>
    <w:rsid w:val="08CCE03D"/>
    <w:rsid w:val="090CA264"/>
    <w:rsid w:val="09457E0C"/>
    <w:rsid w:val="09518B94"/>
    <w:rsid w:val="098336E5"/>
    <w:rsid w:val="09B15687"/>
    <w:rsid w:val="0A17AF8F"/>
    <w:rsid w:val="0A6696D6"/>
    <w:rsid w:val="0B11E819"/>
    <w:rsid w:val="0B1C7182"/>
    <w:rsid w:val="0B7E5243"/>
    <w:rsid w:val="0D0A343A"/>
    <w:rsid w:val="0E3AB33C"/>
    <w:rsid w:val="0E5281EB"/>
    <w:rsid w:val="0EC56310"/>
    <w:rsid w:val="0F11F1FE"/>
    <w:rsid w:val="0F614298"/>
    <w:rsid w:val="0F65BB54"/>
    <w:rsid w:val="0FDDD508"/>
    <w:rsid w:val="0FE00667"/>
    <w:rsid w:val="104179CA"/>
    <w:rsid w:val="10437548"/>
    <w:rsid w:val="1099D9DF"/>
    <w:rsid w:val="10AA823D"/>
    <w:rsid w:val="10D76468"/>
    <w:rsid w:val="10F55A62"/>
    <w:rsid w:val="11333ACA"/>
    <w:rsid w:val="11A2BBB5"/>
    <w:rsid w:val="12A5640D"/>
    <w:rsid w:val="12BED532"/>
    <w:rsid w:val="13099798"/>
    <w:rsid w:val="134569C7"/>
    <w:rsid w:val="1389C989"/>
    <w:rsid w:val="13E0BD21"/>
    <w:rsid w:val="14768B5F"/>
    <w:rsid w:val="14DFE74E"/>
    <w:rsid w:val="14FC83A9"/>
    <w:rsid w:val="15D3027C"/>
    <w:rsid w:val="16EC530B"/>
    <w:rsid w:val="17053D7C"/>
    <w:rsid w:val="172A2D4E"/>
    <w:rsid w:val="1782CF0F"/>
    <w:rsid w:val="17D87AE9"/>
    <w:rsid w:val="17EE6E70"/>
    <w:rsid w:val="18115E11"/>
    <w:rsid w:val="18705846"/>
    <w:rsid w:val="18FA19B2"/>
    <w:rsid w:val="19A8C8A3"/>
    <w:rsid w:val="19B3ADD7"/>
    <w:rsid w:val="1A4DF5EE"/>
    <w:rsid w:val="1A97B561"/>
    <w:rsid w:val="1AA7669C"/>
    <w:rsid w:val="1AAF83A0"/>
    <w:rsid w:val="1AB427FA"/>
    <w:rsid w:val="1AD147A7"/>
    <w:rsid w:val="1ADB9563"/>
    <w:rsid w:val="1B7D3D5A"/>
    <w:rsid w:val="1B7DC750"/>
    <w:rsid w:val="1C09BDD7"/>
    <w:rsid w:val="1C3C61A8"/>
    <w:rsid w:val="1C416C0E"/>
    <w:rsid w:val="1C7C67AD"/>
    <w:rsid w:val="1D6131C7"/>
    <w:rsid w:val="1DAD4360"/>
    <w:rsid w:val="1DE52741"/>
    <w:rsid w:val="1E88EDCC"/>
    <w:rsid w:val="1ECFB78D"/>
    <w:rsid w:val="1EF5E056"/>
    <w:rsid w:val="1F2D7395"/>
    <w:rsid w:val="200B7149"/>
    <w:rsid w:val="2217E8E6"/>
    <w:rsid w:val="2249CC7E"/>
    <w:rsid w:val="22C96A23"/>
    <w:rsid w:val="235AF632"/>
    <w:rsid w:val="23D18BB9"/>
    <w:rsid w:val="23D67074"/>
    <w:rsid w:val="25A70400"/>
    <w:rsid w:val="25C8935B"/>
    <w:rsid w:val="260ADB13"/>
    <w:rsid w:val="26CC4CA2"/>
    <w:rsid w:val="27057D1A"/>
    <w:rsid w:val="270D25B7"/>
    <w:rsid w:val="27F2FCE1"/>
    <w:rsid w:val="28180DA6"/>
    <w:rsid w:val="297981C6"/>
    <w:rsid w:val="2A97A8CA"/>
    <w:rsid w:val="2AA289E1"/>
    <w:rsid w:val="2C1D4521"/>
    <w:rsid w:val="2D298724"/>
    <w:rsid w:val="2D9DCC0A"/>
    <w:rsid w:val="2E298940"/>
    <w:rsid w:val="2E2C6748"/>
    <w:rsid w:val="2E3E71F1"/>
    <w:rsid w:val="2E3F96AF"/>
    <w:rsid w:val="2E60F124"/>
    <w:rsid w:val="2E72C720"/>
    <w:rsid w:val="2E7D753C"/>
    <w:rsid w:val="2EEEF4BD"/>
    <w:rsid w:val="2F3E6FE6"/>
    <w:rsid w:val="2F9B716E"/>
    <w:rsid w:val="2FAB755E"/>
    <w:rsid w:val="3009203A"/>
    <w:rsid w:val="305404C9"/>
    <w:rsid w:val="30B3FE31"/>
    <w:rsid w:val="31509B7C"/>
    <w:rsid w:val="315340BF"/>
    <w:rsid w:val="31CF634D"/>
    <w:rsid w:val="31F30E4D"/>
    <w:rsid w:val="31F3DD7F"/>
    <w:rsid w:val="325AE886"/>
    <w:rsid w:val="32BDEE08"/>
    <w:rsid w:val="32FDD440"/>
    <w:rsid w:val="347E4DC3"/>
    <w:rsid w:val="34D98EBF"/>
    <w:rsid w:val="34EEF5E5"/>
    <w:rsid w:val="353D5090"/>
    <w:rsid w:val="35D8D750"/>
    <w:rsid w:val="3665D897"/>
    <w:rsid w:val="36ACCD1F"/>
    <w:rsid w:val="39CE0633"/>
    <w:rsid w:val="39DE44EB"/>
    <w:rsid w:val="3A0DDE29"/>
    <w:rsid w:val="3C10B49E"/>
    <w:rsid w:val="3D6CA00A"/>
    <w:rsid w:val="3D75358F"/>
    <w:rsid w:val="3D9EB825"/>
    <w:rsid w:val="3E37F7D7"/>
    <w:rsid w:val="3E890816"/>
    <w:rsid w:val="3F1D7E38"/>
    <w:rsid w:val="3FFAC679"/>
    <w:rsid w:val="401F2B22"/>
    <w:rsid w:val="40B396FF"/>
    <w:rsid w:val="40D3AAF6"/>
    <w:rsid w:val="41414300"/>
    <w:rsid w:val="4187C78C"/>
    <w:rsid w:val="419CDAB2"/>
    <w:rsid w:val="42D644FE"/>
    <w:rsid w:val="42FF12C7"/>
    <w:rsid w:val="433BF7AC"/>
    <w:rsid w:val="4380B79A"/>
    <w:rsid w:val="443A79FB"/>
    <w:rsid w:val="44E1276C"/>
    <w:rsid w:val="45003E67"/>
    <w:rsid w:val="453BB4D8"/>
    <w:rsid w:val="456B6DC2"/>
    <w:rsid w:val="45E86F76"/>
    <w:rsid w:val="46192B57"/>
    <w:rsid w:val="46FD169E"/>
    <w:rsid w:val="46FD4804"/>
    <w:rsid w:val="4718E3F4"/>
    <w:rsid w:val="472D1496"/>
    <w:rsid w:val="47D2F819"/>
    <w:rsid w:val="47F79402"/>
    <w:rsid w:val="484BBAB4"/>
    <w:rsid w:val="48758BF4"/>
    <w:rsid w:val="4914C8FB"/>
    <w:rsid w:val="4A652EBC"/>
    <w:rsid w:val="4A7CE2A3"/>
    <w:rsid w:val="4A89EE10"/>
    <w:rsid w:val="4B57D070"/>
    <w:rsid w:val="4B8E85C6"/>
    <w:rsid w:val="4BFA7DEB"/>
    <w:rsid w:val="4C9EC8E2"/>
    <w:rsid w:val="4D175262"/>
    <w:rsid w:val="4EDA46C9"/>
    <w:rsid w:val="4F7857E5"/>
    <w:rsid w:val="506C967F"/>
    <w:rsid w:val="5099EAC9"/>
    <w:rsid w:val="50FAA74E"/>
    <w:rsid w:val="51CC34E3"/>
    <w:rsid w:val="5202FF01"/>
    <w:rsid w:val="525C2944"/>
    <w:rsid w:val="53220CDB"/>
    <w:rsid w:val="533A4827"/>
    <w:rsid w:val="55335B38"/>
    <w:rsid w:val="55A75267"/>
    <w:rsid w:val="55E920E7"/>
    <w:rsid w:val="561BD8C6"/>
    <w:rsid w:val="5630BAF5"/>
    <w:rsid w:val="56407843"/>
    <w:rsid w:val="565669D8"/>
    <w:rsid w:val="572E106B"/>
    <w:rsid w:val="57885D55"/>
    <w:rsid w:val="59876064"/>
    <w:rsid w:val="5A24907B"/>
    <w:rsid w:val="5AE222C7"/>
    <w:rsid w:val="5B0A36EE"/>
    <w:rsid w:val="5BD703DF"/>
    <w:rsid w:val="5BEC2FDE"/>
    <w:rsid w:val="5C2241AD"/>
    <w:rsid w:val="5DFFA72E"/>
    <w:rsid w:val="5E110813"/>
    <w:rsid w:val="5E380AE3"/>
    <w:rsid w:val="5E5D2783"/>
    <w:rsid w:val="5E8596D0"/>
    <w:rsid w:val="5EC72560"/>
    <w:rsid w:val="5ECCBC0D"/>
    <w:rsid w:val="60118B90"/>
    <w:rsid w:val="603B8E8D"/>
    <w:rsid w:val="6049477D"/>
    <w:rsid w:val="60B22A57"/>
    <w:rsid w:val="60FBC98E"/>
    <w:rsid w:val="6103CEA2"/>
    <w:rsid w:val="617F1757"/>
    <w:rsid w:val="6202755D"/>
    <w:rsid w:val="6246FE7C"/>
    <w:rsid w:val="629DF058"/>
    <w:rsid w:val="62B6C634"/>
    <w:rsid w:val="638CE678"/>
    <w:rsid w:val="64002964"/>
    <w:rsid w:val="65D2B868"/>
    <w:rsid w:val="66930843"/>
    <w:rsid w:val="66A9AAB5"/>
    <w:rsid w:val="66E01A3E"/>
    <w:rsid w:val="670264ED"/>
    <w:rsid w:val="6707A1E8"/>
    <w:rsid w:val="672E79A6"/>
    <w:rsid w:val="676B374F"/>
    <w:rsid w:val="67C37348"/>
    <w:rsid w:val="67F489A9"/>
    <w:rsid w:val="67F6B9D0"/>
    <w:rsid w:val="6801C1A2"/>
    <w:rsid w:val="6832EAAB"/>
    <w:rsid w:val="6902E4E0"/>
    <w:rsid w:val="69CB722C"/>
    <w:rsid w:val="69CED64A"/>
    <w:rsid w:val="69FF1773"/>
    <w:rsid w:val="6A3449CB"/>
    <w:rsid w:val="6A570BAE"/>
    <w:rsid w:val="6A59345F"/>
    <w:rsid w:val="6A9AE238"/>
    <w:rsid w:val="6AD0EB56"/>
    <w:rsid w:val="6B7D22C0"/>
    <w:rsid w:val="6B922E36"/>
    <w:rsid w:val="6C4D7F9C"/>
    <w:rsid w:val="6C86D884"/>
    <w:rsid w:val="6D3B63A6"/>
    <w:rsid w:val="6D7D7994"/>
    <w:rsid w:val="6D82BE89"/>
    <w:rsid w:val="6E1BBF64"/>
    <w:rsid w:val="6E81C3F7"/>
    <w:rsid w:val="6F4E15F5"/>
    <w:rsid w:val="6F90EC5C"/>
    <w:rsid w:val="6F9CF74B"/>
    <w:rsid w:val="70A78730"/>
    <w:rsid w:val="70F8B104"/>
    <w:rsid w:val="713A9E7D"/>
    <w:rsid w:val="715C0BC0"/>
    <w:rsid w:val="71905096"/>
    <w:rsid w:val="719F666C"/>
    <w:rsid w:val="71D7B17C"/>
    <w:rsid w:val="74C0A376"/>
    <w:rsid w:val="74E87469"/>
    <w:rsid w:val="7510CD72"/>
    <w:rsid w:val="75271BAA"/>
    <w:rsid w:val="75A5B632"/>
    <w:rsid w:val="75CD2993"/>
    <w:rsid w:val="76325D8F"/>
    <w:rsid w:val="769AE767"/>
    <w:rsid w:val="78080451"/>
    <w:rsid w:val="78C73D06"/>
    <w:rsid w:val="78D2C3CC"/>
    <w:rsid w:val="79A1FA9F"/>
    <w:rsid w:val="79E900EA"/>
    <w:rsid w:val="7A0F7F38"/>
    <w:rsid w:val="7A70AD4E"/>
    <w:rsid w:val="7B0615ED"/>
    <w:rsid w:val="7B48A8B0"/>
    <w:rsid w:val="7B85C61A"/>
    <w:rsid w:val="7BE39EA7"/>
    <w:rsid w:val="7C95348A"/>
    <w:rsid w:val="7CD7C301"/>
    <w:rsid w:val="7CE11CC7"/>
    <w:rsid w:val="7D42960D"/>
    <w:rsid w:val="7D71B974"/>
    <w:rsid w:val="7EDD531B"/>
    <w:rsid w:val="7F0CA0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89B36"/>
  <w15:chartTrackingRefBased/>
  <w15:docId w15:val="{F9895602-FBC2-485B-8F34-28283D56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62"/>
    <w:pPr>
      <w:spacing w:before="160"/>
    </w:pPr>
    <w:rPr>
      <w:sz w:val="25"/>
      <w:szCs w:val="25"/>
    </w:rPr>
  </w:style>
  <w:style w:type="paragraph" w:styleId="Heading1">
    <w:name w:val="heading 1"/>
    <w:basedOn w:val="Normal"/>
    <w:next w:val="Normal"/>
    <w:link w:val="Heading1Char"/>
    <w:uiPriority w:val="9"/>
    <w:qFormat/>
    <w:rsid w:val="00D82F62"/>
    <w:pPr>
      <w:keepNext/>
      <w:keepLines/>
      <w:spacing w:before="240" w:after="240"/>
      <w:outlineLvl w:val="0"/>
    </w:pPr>
    <w:rPr>
      <w:rFonts w:asciiTheme="majorHAnsi" w:eastAsiaTheme="majorEastAsia" w:hAnsiTheme="majorHAnsi" w:cstheme="majorBidi"/>
      <w:b/>
      <w:bCs/>
      <w:color w:val="2F5496" w:themeColor="accent1" w:themeShade="BF"/>
      <w:sz w:val="44"/>
      <w:szCs w:val="44"/>
    </w:rPr>
  </w:style>
  <w:style w:type="paragraph" w:styleId="Heading2">
    <w:name w:val="heading 2"/>
    <w:basedOn w:val="Heading1"/>
    <w:next w:val="Normal"/>
    <w:link w:val="Heading2Char"/>
    <w:uiPriority w:val="9"/>
    <w:unhideWhenUsed/>
    <w:qFormat/>
    <w:rsid w:val="00D82F62"/>
    <w:pPr>
      <w:spacing w:before="280" w:after="160"/>
      <w:outlineLvl w:val="1"/>
    </w:pPr>
    <w:rPr>
      <w:rFonts w:asciiTheme="minorHAnsi" w:hAnsiTheme="minorHAnsi" w:cs="Calibri"/>
      <w:sz w:val="40"/>
      <w:szCs w:val="40"/>
    </w:rPr>
  </w:style>
  <w:style w:type="paragraph" w:styleId="Heading3">
    <w:name w:val="heading 3"/>
    <w:basedOn w:val="Normal"/>
    <w:next w:val="Normal"/>
    <w:link w:val="Heading3Char"/>
    <w:uiPriority w:val="9"/>
    <w:unhideWhenUsed/>
    <w:qFormat/>
    <w:rsid w:val="004E784C"/>
    <w:pPr>
      <w:keepNext/>
      <w:keepLines/>
      <w:spacing w:before="200" w:after="120"/>
      <w:outlineLvl w:val="2"/>
    </w:pPr>
    <w:rPr>
      <w:rFonts w:ascii="Calibri" w:eastAsiaTheme="majorEastAsia" w:hAnsi="Calibri" w:cs="Calibri"/>
      <w:b/>
      <w:bCs/>
      <w:color w:val="1F3763" w:themeColor="accent1" w:themeShade="7F"/>
      <w:sz w:val="32"/>
      <w:szCs w:val="32"/>
    </w:rPr>
  </w:style>
  <w:style w:type="paragraph" w:styleId="Heading4">
    <w:name w:val="heading 4"/>
    <w:basedOn w:val="Normal"/>
    <w:next w:val="Normal"/>
    <w:link w:val="Heading4Char"/>
    <w:uiPriority w:val="9"/>
    <w:unhideWhenUsed/>
    <w:qFormat/>
    <w:rsid w:val="00DE3D32"/>
    <w:pPr>
      <w:keepNext/>
      <w:keepLines/>
      <w:spacing w:before="200" w:after="100"/>
      <w:outlineLvl w:val="3"/>
    </w:pPr>
    <w:rPr>
      <w:rFonts w:ascii="Arial" w:eastAsiaTheme="majorEastAsia" w:hAnsi="Arial" w:cs="Arial"/>
      <w:b/>
      <w:b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1FFF"/>
    <w:rPr>
      <w:i/>
      <w:iCs/>
    </w:rPr>
  </w:style>
  <w:style w:type="paragraph" w:styleId="ListParagraph">
    <w:name w:val="List Paragraph"/>
    <w:basedOn w:val="Normal"/>
    <w:link w:val="ListParagraphChar"/>
    <w:uiPriority w:val="34"/>
    <w:qFormat/>
    <w:rsid w:val="00D30109"/>
    <w:pPr>
      <w:ind w:left="720"/>
      <w:contextualSpacing/>
    </w:pPr>
  </w:style>
  <w:style w:type="paragraph" w:styleId="BodyText">
    <w:name w:val="Body Text"/>
    <w:basedOn w:val="Normal"/>
    <w:link w:val="BodyTextChar"/>
    <w:uiPriority w:val="99"/>
    <w:unhideWhenUsed/>
    <w:rsid w:val="00AD762D"/>
  </w:style>
  <w:style w:type="character" w:customStyle="1" w:styleId="BodyTextChar">
    <w:name w:val="Body Text Char"/>
    <w:basedOn w:val="DefaultParagraphFont"/>
    <w:link w:val="BodyText"/>
    <w:uiPriority w:val="99"/>
    <w:rsid w:val="00AD762D"/>
    <w:rPr>
      <w:sz w:val="24"/>
      <w:szCs w:val="24"/>
    </w:rPr>
  </w:style>
  <w:style w:type="paragraph" w:customStyle="1" w:styleId="paragraph">
    <w:name w:val="paragraph"/>
    <w:basedOn w:val="Normal"/>
    <w:link w:val="paragraphChar"/>
    <w:rsid w:val="00B8625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B86253"/>
  </w:style>
  <w:style w:type="character" w:customStyle="1" w:styleId="normaltextrun">
    <w:name w:val="normaltextrun"/>
    <w:basedOn w:val="DefaultParagraphFont"/>
    <w:rsid w:val="00B86253"/>
  </w:style>
  <w:style w:type="character" w:customStyle="1" w:styleId="contextualspellingandgrammarerror">
    <w:name w:val="contextualspellingandgrammarerror"/>
    <w:basedOn w:val="DefaultParagraphFont"/>
    <w:rsid w:val="00B86253"/>
  </w:style>
  <w:style w:type="character" w:customStyle="1" w:styleId="spellingerror">
    <w:name w:val="spellingerror"/>
    <w:basedOn w:val="DefaultParagraphFont"/>
    <w:rsid w:val="00B86253"/>
  </w:style>
  <w:style w:type="character" w:customStyle="1" w:styleId="pagebreaktextspan">
    <w:name w:val="pagebreaktextspan"/>
    <w:basedOn w:val="DefaultParagraphFont"/>
    <w:rsid w:val="00B86253"/>
  </w:style>
  <w:style w:type="character" w:customStyle="1" w:styleId="advancedproofingissue">
    <w:name w:val="advancedproofingissue"/>
    <w:basedOn w:val="DefaultParagraphFont"/>
    <w:rsid w:val="003E68B0"/>
  </w:style>
  <w:style w:type="paragraph" w:styleId="Header">
    <w:name w:val="header"/>
    <w:basedOn w:val="Normal"/>
    <w:link w:val="HeaderChar"/>
    <w:uiPriority w:val="99"/>
    <w:unhideWhenUsed/>
    <w:rsid w:val="009B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48"/>
  </w:style>
  <w:style w:type="paragraph" w:styleId="Footer">
    <w:name w:val="footer"/>
    <w:basedOn w:val="Normal"/>
    <w:link w:val="FooterChar"/>
    <w:uiPriority w:val="99"/>
    <w:unhideWhenUsed/>
    <w:rsid w:val="009B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48"/>
  </w:style>
  <w:style w:type="table" w:styleId="TableGrid">
    <w:name w:val="Table Grid"/>
    <w:basedOn w:val="TableNormal"/>
    <w:uiPriority w:val="39"/>
    <w:rsid w:val="000C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5616"/>
    <w:pPr>
      <w:spacing w:line="240" w:lineRule="auto"/>
    </w:pPr>
    <w:rPr>
      <w:sz w:val="20"/>
      <w:szCs w:val="20"/>
    </w:rPr>
  </w:style>
  <w:style w:type="character" w:customStyle="1" w:styleId="CommentTextChar">
    <w:name w:val="Comment Text Char"/>
    <w:basedOn w:val="DefaultParagraphFont"/>
    <w:link w:val="CommentText"/>
    <w:uiPriority w:val="99"/>
    <w:rsid w:val="000C5616"/>
    <w:rPr>
      <w:sz w:val="20"/>
      <w:szCs w:val="20"/>
    </w:rPr>
  </w:style>
  <w:style w:type="character" w:customStyle="1" w:styleId="Heading1Char">
    <w:name w:val="Heading 1 Char"/>
    <w:basedOn w:val="DefaultParagraphFont"/>
    <w:link w:val="Heading1"/>
    <w:uiPriority w:val="9"/>
    <w:rsid w:val="00D82F62"/>
    <w:rPr>
      <w:rFonts w:asciiTheme="majorHAnsi" w:eastAsiaTheme="majorEastAsia" w:hAnsiTheme="majorHAnsi" w:cstheme="majorBidi"/>
      <w:b/>
      <w:bCs/>
      <w:color w:val="2F5496" w:themeColor="accent1" w:themeShade="BF"/>
      <w:sz w:val="44"/>
      <w:szCs w:val="44"/>
    </w:rPr>
  </w:style>
  <w:style w:type="paragraph" w:styleId="TOCHeading">
    <w:name w:val="TOC Heading"/>
    <w:basedOn w:val="Heading1"/>
    <w:next w:val="Normal"/>
    <w:uiPriority w:val="39"/>
    <w:unhideWhenUsed/>
    <w:qFormat/>
    <w:rsid w:val="00BB2EF1"/>
    <w:pPr>
      <w:outlineLvl w:val="9"/>
    </w:pPr>
    <w:rPr>
      <w:lang w:val="en-US"/>
    </w:rPr>
  </w:style>
  <w:style w:type="paragraph" w:styleId="TOC1">
    <w:name w:val="toc 1"/>
    <w:basedOn w:val="Normal"/>
    <w:next w:val="Normal"/>
    <w:autoRedefine/>
    <w:uiPriority w:val="39"/>
    <w:unhideWhenUsed/>
    <w:rsid w:val="00BB2EF1"/>
    <w:pPr>
      <w:spacing w:after="100"/>
    </w:pPr>
  </w:style>
  <w:style w:type="character" w:styleId="Hyperlink">
    <w:name w:val="Hyperlink"/>
    <w:basedOn w:val="DefaultParagraphFont"/>
    <w:uiPriority w:val="99"/>
    <w:unhideWhenUsed/>
    <w:rsid w:val="00BB2EF1"/>
    <w:rPr>
      <w:color w:val="0563C1" w:themeColor="hyperlink"/>
      <w:u w:val="single"/>
    </w:rPr>
  </w:style>
  <w:style w:type="paragraph" w:styleId="BalloonText">
    <w:name w:val="Balloon Text"/>
    <w:basedOn w:val="Normal"/>
    <w:link w:val="BalloonTextChar"/>
    <w:uiPriority w:val="99"/>
    <w:semiHidden/>
    <w:unhideWhenUsed/>
    <w:rsid w:val="0016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C7"/>
    <w:rPr>
      <w:rFonts w:ascii="Segoe UI" w:hAnsi="Segoe UI" w:cs="Segoe UI"/>
      <w:sz w:val="18"/>
      <w:szCs w:val="18"/>
    </w:rPr>
  </w:style>
  <w:style w:type="character" w:styleId="Strong">
    <w:name w:val="Strong"/>
    <w:basedOn w:val="DefaultParagraphFont"/>
    <w:uiPriority w:val="22"/>
    <w:qFormat/>
    <w:rsid w:val="00857730"/>
    <w:rPr>
      <w:b/>
      <w:bCs/>
    </w:rPr>
  </w:style>
  <w:style w:type="character" w:styleId="CommentReference">
    <w:name w:val="annotation reference"/>
    <w:basedOn w:val="DefaultParagraphFont"/>
    <w:uiPriority w:val="99"/>
    <w:semiHidden/>
    <w:unhideWhenUsed/>
    <w:rsid w:val="00857730"/>
    <w:rPr>
      <w:sz w:val="16"/>
      <w:szCs w:val="16"/>
    </w:rPr>
  </w:style>
  <w:style w:type="paragraph" w:styleId="CommentSubject">
    <w:name w:val="annotation subject"/>
    <w:basedOn w:val="CommentText"/>
    <w:next w:val="CommentText"/>
    <w:link w:val="CommentSubjectChar"/>
    <w:uiPriority w:val="99"/>
    <w:semiHidden/>
    <w:unhideWhenUsed/>
    <w:rsid w:val="00857730"/>
    <w:rPr>
      <w:b/>
      <w:bCs/>
    </w:rPr>
  </w:style>
  <w:style w:type="character" w:customStyle="1" w:styleId="CommentSubjectChar">
    <w:name w:val="Comment Subject Char"/>
    <w:basedOn w:val="CommentTextChar"/>
    <w:link w:val="CommentSubject"/>
    <w:uiPriority w:val="99"/>
    <w:semiHidden/>
    <w:rsid w:val="00857730"/>
    <w:rPr>
      <w:b/>
      <w:bCs/>
      <w:sz w:val="20"/>
      <w:szCs w:val="20"/>
    </w:rPr>
  </w:style>
  <w:style w:type="character" w:customStyle="1" w:styleId="Heading2Char">
    <w:name w:val="Heading 2 Char"/>
    <w:basedOn w:val="DefaultParagraphFont"/>
    <w:link w:val="Heading2"/>
    <w:uiPriority w:val="9"/>
    <w:rsid w:val="00D82F62"/>
    <w:rPr>
      <w:rFonts w:eastAsiaTheme="majorEastAsia" w:cs="Calibri"/>
      <w:b/>
      <w:bCs/>
      <w:color w:val="2F5496" w:themeColor="accent1" w:themeShade="BF"/>
      <w:sz w:val="40"/>
      <w:szCs w:val="40"/>
    </w:rPr>
  </w:style>
  <w:style w:type="paragraph" w:styleId="NoSpacing">
    <w:name w:val="No Spacing"/>
    <w:uiPriority w:val="1"/>
    <w:qFormat/>
    <w:rsid w:val="00D4343C"/>
    <w:pPr>
      <w:spacing w:after="0" w:line="240" w:lineRule="auto"/>
    </w:pPr>
  </w:style>
  <w:style w:type="character" w:styleId="FootnoteReference">
    <w:name w:val="footnote reference"/>
    <w:basedOn w:val="DefaultParagraphFont"/>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nhideWhenUsed/>
    <w:pPr>
      <w:spacing w:after="0" w:line="240" w:lineRule="auto"/>
    </w:pPr>
    <w:rPr>
      <w:sz w:val="20"/>
      <w:szCs w:val="20"/>
    </w:rPr>
  </w:style>
  <w:style w:type="paragraph" w:styleId="TOC2">
    <w:name w:val="toc 2"/>
    <w:basedOn w:val="Normal"/>
    <w:next w:val="Normal"/>
    <w:autoRedefine/>
    <w:uiPriority w:val="39"/>
    <w:unhideWhenUsed/>
    <w:rsid w:val="00C3767A"/>
    <w:pPr>
      <w:tabs>
        <w:tab w:val="right" w:pos="4962"/>
      </w:tabs>
      <w:spacing w:after="100"/>
      <w:ind w:left="220"/>
    </w:pPr>
    <w:rPr>
      <w:rFonts w:ascii="Calibri" w:hAnsi="Calibri" w:cs="Calibri"/>
      <w:noProof/>
    </w:rPr>
  </w:style>
  <w:style w:type="paragraph" w:styleId="EndnoteText">
    <w:name w:val="endnote text"/>
    <w:basedOn w:val="Normal"/>
    <w:link w:val="EndnoteTextChar"/>
    <w:uiPriority w:val="99"/>
    <w:semiHidden/>
    <w:unhideWhenUsed/>
    <w:rsid w:val="00B275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56B"/>
    <w:rPr>
      <w:sz w:val="20"/>
      <w:szCs w:val="20"/>
    </w:rPr>
  </w:style>
  <w:style w:type="character" w:styleId="EndnoteReference">
    <w:name w:val="endnote reference"/>
    <w:basedOn w:val="DefaultParagraphFont"/>
    <w:uiPriority w:val="99"/>
    <w:semiHidden/>
    <w:unhideWhenUsed/>
    <w:rsid w:val="00B2756B"/>
    <w:rPr>
      <w:vertAlign w:val="superscript"/>
    </w:rPr>
  </w:style>
  <w:style w:type="character" w:customStyle="1" w:styleId="UnresolvedMention1">
    <w:name w:val="Unresolved Mention1"/>
    <w:basedOn w:val="DefaultParagraphFont"/>
    <w:uiPriority w:val="99"/>
    <w:semiHidden/>
    <w:unhideWhenUsed/>
    <w:rsid w:val="00055A4F"/>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customStyle="1" w:styleId="Footnote">
    <w:name w:val="Footnote"/>
    <w:basedOn w:val="FootnoteText"/>
    <w:link w:val="FootnoteChar"/>
    <w:qFormat/>
    <w:rsid w:val="00EF3A49"/>
    <w:pPr>
      <w:spacing w:before="0" w:after="120"/>
    </w:pPr>
  </w:style>
  <w:style w:type="paragraph" w:styleId="Quote">
    <w:name w:val="Quote"/>
    <w:basedOn w:val="Normal"/>
    <w:next w:val="Normal"/>
    <w:link w:val="QuoteChar"/>
    <w:uiPriority w:val="29"/>
    <w:qFormat/>
    <w:rsid w:val="007476E9"/>
    <w:pPr>
      <w:spacing w:before="200"/>
      <w:ind w:left="864" w:right="864"/>
      <w:jc w:val="center"/>
    </w:pPr>
    <w:rPr>
      <w:rFonts w:cs="Calibri"/>
      <w:bCs/>
      <w:i/>
      <w:iCs/>
      <w:color w:val="002060"/>
      <w:sz w:val="26"/>
      <w:szCs w:val="26"/>
    </w:rPr>
  </w:style>
  <w:style w:type="character" w:customStyle="1" w:styleId="FootnoteChar">
    <w:name w:val="Footnote Char"/>
    <w:basedOn w:val="FootnoteTextChar"/>
    <w:link w:val="Footnote"/>
    <w:rsid w:val="00EF3A49"/>
    <w:rPr>
      <w:sz w:val="20"/>
      <w:szCs w:val="20"/>
    </w:rPr>
  </w:style>
  <w:style w:type="character" w:customStyle="1" w:styleId="QuoteChar">
    <w:name w:val="Quote Char"/>
    <w:basedOn w:val="DefaultParagraphFont"/>
    <w:link w:val="Quote"/>
    <w:uiPriority w:val="29"/>
    <w:rsid w:val="007476E9"/>
    <w:rPr>
      <w:rFonts w:cs="Calibri"/>
      <w:bCs/>
      <w:i/>
      <w:iCs/>
      <w:color w:val="002060"/>
      <w:sz w:val="26"/>
      <w:szCs w:val="26"/>
    </w:rPr>
  </w:style>
  <w:style w:type="paragraph" w:customStyle="1" w:styleId="Quotee">
    <w:name w:val="Quotee"/>
    <w:basedOn w:val="Quote"/>
    <w:link w:val="QuoteeChar"/>
    <w:qFormat/>
    <w:rsid w:val="007476E9"/>
    <w:pPr>
      <w:ind w:left="426" w:right="107"/>
    </w:pPr>
    <w:rPr>
      <w:i w:val="0"/>
      <w:iCs w:val="0"/>
    </w:rPr>
  </w:style>
  <w:style w:type="paragraph" w:styleId="NormalWeb">
    <w:name w:val="Normal (Web)"/>
    <w:basedOn w:val="Normal"/>
    <w:uiPriority w:val="99"/>
    <w:semiHidden/>
    <w:unhideWhenUsed/>
    <w:rsid w:val="006578C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QuoteeChar">
    <w:name w:val="Quotee Char"/>
    <w:basedOn w:val="QuoteChar"/>
    <w:link w:val="Quotee"/>
    <w:rsid w:val="007476E9"/>
    <w:rPr>
      <w:rFonts w:cs="Calibri"/>
      <w:bCs/>
      <w:i w:val="0"/>
      <w:iCs w:val="0"/>
      <w:color w:val="002060"/>
      <w:sz w:val="26"/>
      <w:szCs w:val="26"/>
    </w:rPr>
  </w:style>
  <w:style w:type="paragraph" w:customStyle="1" w:styleId="Initiatives">
    <w:name w:val="Initiatives"/>
    <w:basedOn w:val="paragraph"/>
    <w:link w:val="InitiativesChar"/>
    <w:qFormat/>
    <w:rsid w:val="00E13ACD"/>
    <w:pPr>
      <w:keepNext/>
      <w:ind w:left="1134"/>
    </w:pPr>
    <w:rPr>
      <w:rFonts w:asciiTheme="minorHAnsi" w:hAnsiTheme="minorHAnsi" w:cs="Calibri"/>
      <w:i/>
      <w:iCs/>
      <w:sz w:val="32"/>
      <w:szCs w:val="32"/>
    </w:rPr>
  </w:style>
  <w:style w:type="paragraph" w:customStyle="1" w:styleId="InitiativesBody">
    <w:name w:val="Initiatives Body"/>
    <w:basedOn w:val="Normal"/>
    <w:link w:val="InitiativesBodyChar"/>
    <w:qFormat/>
    <w:rsid w:val="008A159A"/>
    <w:pPr>
      <w:spacing w:line="240" w:lineRule="auto"/>
      <w:ind w:left="567" w:right="675"/>
    </w:pPr>
    <w:rPr>
      <w:color w:val="305598"/>
      <w:sz w:val="27"/>
      <w:szCs w:val="27"/>
    </w:rPr>
  </w:style>
  <w:style w:type="character" w:customStyle="1" w:styleId="paragraphChar">
    <w:name w:val="paragraph Char"/>
    <w:basedOn w:val="DefaultParagraphFont"/>
    <w:link w:val="paragraph"/>
    <w:rsid w:val="00D6715D"/>
    <w:rPr>
      <w:rFonts w:ascii="Times New Roman" w:eastAsia="Times New Roman" w:hAnsi="Times New Roman" w:cs="Times New Roman"/>
      <w:sz w:val="24"/>
      <w:szCs w:val="24"/>
      <w:lang w:eastAsia="en-AU"/>
    </w:rPr>
  </w:style>
  <w:style w:type="character" w:customStyle="1" w:styleId="InitiativesChar">
    <w:name w:val="Initiatives Char"/>
    <w:basedOn w:val="paragraphChar"/>
    <w:link w:val="Initiatives"/>
    <w:rsid w:val="00E13ACD"/>
    <w:rPr>
      <w:rFonts w:ascii="Times New Roman" w:eastAsia="Times New Roman" w:hAnsi="Times New Roman" w:cs="Calibri"/>
      <w:i/>
      <w:iCs/>
      <w:sz w:val="32"/>
      <w:szCs w:val="32"/>
      <w:lang w:eastAsia="en-AU"/>
    </w:rPr>
  </w:style>
  <w:style w:type="paragraph" w:customStyle="1" w:styleId="Promote">
    <w:name w:val="Promote"/>
    <w:basedOn w:val="paragraph"/>
    <w:link w:val="PromoteChar"/>
    <w:qFormat/>
    <w:rsid w:val="00CC4D10"/>
    <w:rPr>
      <w:rFonts w:asciiTheme="minorHAnsi" w:hAnsiTheme="minorHAnsi" w:cs="Calibri"/>
      <w:b/>
      <w:bCs/>
      <w:i/>
      <w:iCs/>
      <w:sz w:val="32"/>
      <w:szCs w:val="32"/>
    </w:rPr>
  </w:style>
  <w:style w:type="character" w:customStyle="1" w:styleId="InitiativesBodyChar">
    <w:name w:val="Initiatives Body Char"/>
    <w:basedOn w:val="DefaultParagraphFont"/>
    <w:link w:val="InitiativesBody"/>
    <w:rsid w:val="008A159A"/>
    <w:rPr>
      <w:color w:val="305598"/>
      <w:sz w:val="27"/>
      <w:szCs w:val="27"/>
    </w:rPr>
  </w:style>
  <w:style w:type="character" w:customStyle="1" w:styleId="PromoteChar">
    <w:name w:val="Promote Char"/>
    <w:basedOn w:val="paragraphChar"/>
    <w:link w:val="Promote"/>
    <w:rsid w:val="00CC4D10"/>
    <w:rPr>
      <w:rFonts w:ascii="Times New Roman" w:eastAsia="Times New Roman" w:hAnsi="Times New Roman" w:cs="Calibri"/>
      <w:b/>
      <w:bCs/>
      <w:i/>
      <w:iCs/>
      <w:sz w:val="32"/>
      <w:szCs w:val="32"/>
      <w:lang w:eastAsia="en-AU"/>
    </w:rPr>
  </w:style>
  <w:style w:type="paragraph" w:customStyle="1" w:styleId="Bullet-Numbered-Italic">
    <w:name w:val="Bullet-Numbered-Italic"/>
    <w:basedOn w:val="ListParagraph"/>
    <w:link w:val="Bullet-Numbered-ItalicChar"/>
    <w:qFormat/>
    <w:rsid w:val="00DB3BDB"/>
    <w:pPr>
      <w:numPr>
        <w:numId w:val="2"/>
      </w:numPr>
      <w:ind w:left="426" w:hanging="370"/>
    </w:pPr>
    <w:rPr>
      <w:rFonts w:cstheme="minorHAnsi"/>
      <w:i/>
      <w:iCs/>
    </w:rPr>
  </w:style>
  <w:style w:type="paragraph" w:customStyle="1" w:styleId="Bullet-dash">
    <w:name w:val="Bullet-dash"/>
    <w:basedOn w:val="ListParagraph"/>
    <w:link w:val="Bullet-dashChar"/>
    <w:qFormat/>
    <w:rsid w:val="008928F2"/>
    <w:pPr>
      <w:numPr>
        <w:numId w:val="3"/>
      </w:numPr>
      <w:ind w:left="426"/>
    </w:pPr>
  </w:style>
  <w:style w:type="character" w:customStyle="1" w:styleId="ListParagraphChar">
    <w:name w:val="List Paragraph Char"/>
    <w:basedOn w:val="DefaultParagraphFont"/>
    <w:link w:val="ListParagraph"/>
    <w:uiPriority w:val="34"/>
    <w:rsid w:val="00450604"/>
    <w:rPr>
      <w:sz w:val="24"/>
      <w:szCs w:val="24"/>
    </w:rPr>
  </w:style>
  <w:style w:type="character" w:customStyle="1" w:styleId="Bullet-Numbered-ItalicChar">
    <w:name w:val="Bullet-Numbered-Italic Char"/>
    <w:basedOn w:val="ListParagraphChar"/>
    <w:link w:val="Bullet-Numbered-Italic"/>
    <w:rsid w:val="00DB3BDB"/>
    <w:rPr>
      <w:rFonts w:cstheme="minorHAnsi"/>
      <w:i/>
      <w:iCs/>
      <w:sz w:val="25"/>
      <w:szCs w:val="25"/>
    </w:rPr>
  </w:style>
  <w:style w:type="paragraph" w:customStyle="1" w:styleId="block-quote">
    <w:name w:val="block-quote"/>
    <w:basedOn w:val="paragraph"/>
    <w:link w:val="block-quoteChar"/>
    <w:qFormat/>
    <w:rsid w:val="00635705"/>
    <w:pPr>
      <w:spacing w:before="0" w:beforeAutospacing="0" w:after="60" w:afterAutospacing="0"/>
    </w:pPr>
    <w:rPr>
      <w:rFonts w:asciiTheme="minorHAnsi" w:hAnsiTheme="minorHAnsi" w:cs="Calibri"/>
      <w:i/>
      <w:iCs/>
      <w:sz w:val="28"/>
      <w:szCs w:val="28"/>
    </w:rPr>
  </w:style>
  <w:style w:type="character" w:customStyle="1" w:styleId="Bullet-dashChar">
    <w:name w:val="Bullet-dash Char"/>
    <w:basedOn w:val="ListParagraphChar"/>
    <w:link w:val="Bullet-dash"/>
    <w:rsid w:val="008928F2"/>
    <w:rPr>
      <w:sz w:val="25"/>
      <w:szCs w:val="25"/>
    </w:rPr>
  </w:style>
  <w:style w:type="character" w:customStyle="1" w:styleId="Heading3Char">
    <w:name w:val="Heading 3 Char"/>
    <w:basedOn w:val="DefaultParagraphFont"/>
    <w:link w:val="Heading3"/>
    <w:uiPriority w:val="9"/>
    <w:rsid w:val="004E784C"/>
    <w:rPr>
      <w:rFonts w:ascii="Calibri" w:eastAsiaTheme="majorEastAsia" w:hAnsi="Calibri" w:cs="Calibri"/>
      <w:b/>
      <w:bCs/>
      <w:color w:val="1F3763" w:themeColor="accent1" w:themeShade="7F"/>
      <w:sz w:val="32"/>
      <w:szCs w:val="32"/>
    </w:rPr>
  </w:style>
  <w:style w:type="character" w:customStyle="1" w:styleId="block-quoteChar">
    <w:name w:val="block-quote Char"/>
    <w:basedOn w:val="paragraphChar"/>
    <w:link w:val="block-quote"/>
    <w:rsid w:val="00635705"/>
    <w:rPr>
      <w:rFonts w:ascii="Times New Roman" w:eastAsia="Times New Roman" w:hAnsi="Times New Roman" w:cs="Calibri"/>
      <w:i/>
      <w:iCs/>
      <w:sz w:val="28"/>
      <w:szCs w:val="28"/>
      <w:lang w:eastAsia="en-AU"/>
    </w:rPr>
  </w:style>
  <w:style w:type="paragraph" w:customStyle="1" w:styleId="Bullet-Numbered">
    <w:name w:val="Bullet-Numbered"/>
    <w:basedOn w:val="ListParagraph"/>
    <w:link w:val="Bullet-NumberedChar"/>
    <w:qFormat/>
    <w:rsid w:val="00635705"/>
    <w:pPr>
      <w:numPr>
        <w:numId w:val="5"/>
      </w:numPr>
      <w:spacing w:after="0"/>
      <w:contextualSpacing w:val="0"/>
    </w:pPr>
    <w:rPr>
      <w:rFonts w:cs="Calibri"/>
    </w:rPr>
  </w:style>
  <w:style w:type="paragraph" w:customStyle="1" w:styleId="Bullet-letter-indent">
    <w:name w:val="Bullet-letter-indent"/>
    <w:basedOn w:val="ListParagraph"/>
    <w:link w:val="Bullet-letter-indentChar"/>
    <w:qFormat/>
    <w:rsid w:val="00635705"/>
    <w:pPr>
      <w:numPr>
        <w:numId w:val="6"/>
      </w:numPr>
      <w:spacing w:before="0" w:after="0"/>
      <w:ind w:left="1434" w:hanging="357"/>
      <w:contextualSpacing w:val="0"/>
    </w:pPr>
    <w:rPr>
      <w:rFonts w:cs="Calibri"/>
    </w:rPr>
  </w:style>
  <w:style w:type="character" w:customStyle="1" w:styleId="Bullet-NumberedChar">
    <w:name w:val="Bullet-Numbered Char"/>
    <w:basedOn w:val="ListParagraphChar"/>
    <w:link w:val="Bullet-Numbered"/>
    <w:rsid w:val="00635705"/>
    <w:rPr>
      <w:rFonts w:cs="Calibri"/>
      <w:sz w:val="24"/>
      <w:szCs w:val="24"/>
    </w:rPr>
  </w:style>
  <w:style w:type="character" w:customStyle="1" w:styleId="Heading4Char">
    <w:name w:val="Heading 4 Char"/>
    <w:basedOn w:val="DefaultParagraphFont"/>
    <w:link w:val="Heading4"/>
    <w:uiPriority w:val="9"/>
    <w:rsid w:val="00DE3D32"/>
    <w:rPr>
      <w:rFonts w:ascii="Arial" w:eastAsiaTheme="majorEastAsia" w:hAnsi="Arial" w:cs="Arial"/>
      <w:b/>
      <w:bCs/>
      <w:color w:val="595959" w:themeColor="text1" w:themeTint="A6"/>
      <w:sz w:val="25"/>
      <w:szCs w:val="25"/>
    </w:rPr>
  </w:style>
  <w:style w:type="character" w:customStyle="1" w:styleId="Bullet-letter-indentChar">
    <w:name w:val="Bullet-letter-indent Char"/>
    <w:basedOn w:val="ListParagraphChar"/>
    <w:link w:val="Bullet-letter-indent"/>
    <w:rsid w:val="00635705"/>
    <w:rPr>
      <w:rFonts w:cs="Calibri"/>
      <w:sz w:val="24"/>
      <w:szCs w:val="24"/>
    </w:rPr>
  </w:style>
  <w:style w:type="paragraph" w:styleId="TOC3">
    <w:name w:val="toc 3"/>
    <w:basedOn w:val="Normal"/>
    <w:next w:val="Normal"/>
    <w:autoRedefine/>
    <w:uiPriority w:val="39"/>
    <w:unhideWhenUsed/>
    <w:rsid w:val="00D82F62"/>
    <w:pPr>
      <w:tabs>
        <w:tab w:val="right" w:pos="4962"/>
      </w:tabs>
      <w:spacing w:after="100"/>
      <w:ind w:left="500"/>
    </w:pPr>
    <w:rPr>
      <w:noProof/>
    </w:rPr>
  </w:style>
  <w:style w:type="paragraph" w:styleId="Subtitle">
    <w:name w:val="Subtitle"/>
    <w:basedOn w:val="Normal"/>
    <w:next w:val="Normal"/>
    <w:link w:val="SubtitleChar"/>
    <w:uiPriority w:val="11"/>
    <w:qFormat/>
    <w:rsid w:val="004E784C"/>
    <w:pPr>
      <w:numPr>
        <w:ilvl w:val="1"/>
      </w:numPr>
      <w:spacing w:before="200" w:after="120"/>
    </w:pPr>
    <w:rPr>
      <w:rFonts w:eastAsiaTheme="minorEastAsia"/>
      <w:b/>
      <w:bCs/>
      <w:color w:val="5A5A5A" w:themeColor="text1" w:themeTint="A5"/>
      <w:spacing w:val="15"/>
      <w:sz w:val="32"/>
      <w:szCs w:val="32"/>
    </w:rPr>
  </w:style>
  <w:style w:type="character" w:customStyle="1" w:styleId="SubtitleChar">
    <w:name w:val="Subtitle Char"/>
    <w:basedOn w:val="DefaultParagraphFont"/>
    <w:link w:val="Subtitle"/>
    <w:uiPriority w:val="11"/>
    <w:rsid w:val="004E784C"/>
    <w:rPr>
      <w:rFonts w:eastAsiaTheme="minorEastAsia"/>
      <w:b/>
      <w:bCs/>
      <w:color w:val="5A5A5A" w:themeColor="text1" w:themeTint="A5"/>
      <w:spacing w:val="15"/>
      <w:sz w:val="32"/>
      <w:szCs w:val="32"/>
    </w:rPr>
  </w:style>
  <w:style w:type="paragraph" w:customStyle="1" w:styleId="Bullet-disc">
    <w:name w:val="Bullet-disc"/>
    <w:basedOn w:val="Bullet-dash"/>
    <w:link w:val="Bullet-discChar"/>
    <w:qFormat/>
    <w:rsid w:val="00C3767A"/>
    <w:pPr>
      <w:numPr>
        <w:numId w:val="19"/>
      </w:numPr>
      <w:spacing w:before="120" w:after="120"/>
      <w:ind w:left="284" w:hanging="284"/>
      <w:contextualSpacing w:val="0"/>
    </w:pPr>
  </w:style>
  <w:style w:type="paragraph" w:customStyle="1" w:styleId="Shared-Value">
    <w:name w:val="Shared-Value"/>
    <w:basedOn w:val="Normal"/>
    <w:link w:val="Shared-ValueChar"/>
    <w:qFormat/>
    <w:rsid w:val="00AB6992"/>
    <w:pPr>
      <w:spacing w:before="360" w:after="360"/>
    </w:pPr>
    <w:rPr>
      <w:rFonts w:cs="Calibri"/>
      <w:i/>
      <w:iCs/>
    </w:rPr>
  </w:style>
  <w:style w:type="character" w:customStyle="1" w:styleId="Bullet-discChar">
    <w:name w:val="Bullet-disc Char"/>
    <w:basedOn w:val="Bullet-dashChar"/>
    <w:link w:val="Bullet-disc"/>
    <w:rsid w:val="00C3767A"/>
    <w:rPr>
      <w:sz w:val="25"/>
      <w:szCs w:val="25"/>
    </w:rPr>
  </w:style>
  <w:style w:type="paragraph" w:customStyle="1" w:styleId="Table-Header">
    <w:name w:val="Table-Header"/>
    <w:basedOn w:val="Normal"/>
    <w:link w:val="Table-HeaderChar"/>
    <w:qFormat/>
    <w:rsid w:val="008928F2"/>
    <w:pPr>
      <w:spacing w:before="80" w:after="80"/>
    </w:pPr>
    <w:rPr>
      <w:rFonts w:ascii="Arial Black" w:hAnsi="Arial Black"/>
      <w:sz w:val="24"/>
      <w:szCs w:val="24"/>
    </w:rPr>
  </w:style>
  <w:style w:type="character" w:customStyle="1" w:styleId="Shared-ValueChar">
    <w:name w:val="Shared-Value Char"/>
    <w:basedOn w:val="DefaultParagraphFont"/>
    <w:link w:val="Shared-Value"/>
    <w:rsid w:val="00AB6992"/>
    <w:rPr>
      <w:rFonts w:cs="Calibri"/>
      <w:i/>
      <w:iCs/>
      <w:sz w:val="25"/>
      <w:szCs w:val="25"/>
    </w:rPr>
  </w:style>
  <w:style w:type="paragraph" w:customStyle="1" w:styleId="Table-Text">
    <w:name w:val="Table-Text"/>
    <w:basedOn w:val="Normal"/>
    <w:qFormat/>
    <w:rsid w:val="008928F2"/>
    <w:pPr>
      <w:spacing w:before="80" w:after="80"/>
    </w:pPr>
  </w:style>
  <w:style w:type="character" w:customStyle="1" w:styleId="Table-HeaderChar">
    <w:name w:val="Table-Header Char"/>
    <w:basedOn w:val="DefaultParagraphFont"/>
    <w:link w:val="Table-Header"/>
    <w:rsid w:val="008928F2"/>
    <w:rPr>
      <w:rFonts w:ascii="Arial Black" w:hAnsi="Arial Black"/>
      <w:sz w:val="24"/>
      <w:szCs w:val="24"/>
    </w:rPr>
  </w:style>
  <w:style w:type="paragraph" w:customStyle="1" w:styleId="Bullet-Minister">
    <w:name w:val="Bullet-Minister"/>
    <w:basedOn w:val="Bullet-disc"/>
    <w:link w:val="Bullet-MinisterChar"/>
    <w:qFormat/>
    <w:rsid w:val="008A46F0"/>
    <w:pPr>
      <w:spacing w:before="100" w:after="20" w:line="240" w:lineRule="auto"/>
    </w:pPr>
  </w:style>
  <w:style w:type="character" w:customStyle="1" w:styleId="Bullet-MinisterChar">
    <w:name w:val="Bullet-Minister Char"/>
    <w:basedOn w:val="Bullet-discChar"/>
    <w:link w:val="Bullet-Minister"/>
    <w:rsid w:val="008A46F0"/>
    <w:rPr>
      <w:sz w:val="25"/>
      <w:szCs w:val="25"/>
    </w:rPr>
  </w:style>
  <w:style w:type="paragraph" w:styleId="Revision">
    <w:name w:val="Revision"/>
    <w:hidden/>
    <w:uiPriority w:val="99"/>
    <w:semiHidden/>
    <w:rsid w:val="00832AA5"/>
    <w:pPr>
      <w:spacing w:after="0" w:line="240" w:lineRule="auto"/>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4029">
      <w:bodyDiv w:val="1"/>
      <w:marLeft w:val="0"/>
      <w:marRight w:val="0"/>
      <w:marTop w:val="0"/>
      <w:marBottom w:val="0"/>
      <w:divBdr>
        <w:top w:val="none" w:sz="0" w:space="0" w:color="auto"/>
        <w:left w:val="none" w:sz="0" w:space="0" w:color="auto"/>
        <w:bottom w:val="none" w:sz="0" w:space="0" w:color="auto"/>
        <w:right w:val="none" w:sz="0" w:space="0" w:color="auto"/>
      </w:divBdr>
      <w:divsChild>
        <w:div w:id="233049092">
          <w:marLeft w:val="0"/>
          <w:marRight w:val="0"/>
          <w:marTop w:val="0"/>
          <w:marBottom w:val="0"/>
          <w:divBdr>
            <w:top w:val="none" w:sz="0" w:space="0" w:color="auto"/>
            <w:left w:val="none" w:sz="0" w:space="0" w:color="auto"/>
            <w:bottom w:val="none" w:sz="0" w:space="0" w:color="auto"/>
            <w:right w:val="none" w:sz="0" w:space="0" w:color="auto"/>
          </w:divBdr>
        </w:div>
        <w:div w:id="405491679">
          <w:marLeft w:val="0"/>
          <w:marRight w:val="0"/>
          <w:marTop w:val="0"/>
          <w:marBottom w:val="0"/>
          <w:divBdr>
            <w:top w:val="none" w:sz="0" w:space="0" w:color="auto"/>
            <w:left w:val="none" w:sz="0" w:space="0" w:color="auto"/>
            <w:bottom w:val="none" w:sz="0" w:space="0" w:color="auto"/>
            <w:right w:val="none" w:sz="0" w:space="0" w:color="auto"/>
          </w:divBdr>
        </w:div>
        <w:div w:id="670597073">
          <w:marLeft w:val="0"/>
          <w:marRight w:val="0"/>
          <w:marTop w:val="0"/>
          <w:marBottom w:val="0"/>
          <w:divBdr>
            <w:top w:val="none" w:sz="0" w:space="0" w:color="auto"/>
            <w:left w:val="none" w:sz="0" w:space="0" w:color="auto"/>
            <w:bottom w:val="none" w:sz="0" w:space="0" w:color="auto"/>
            <w:right w:val="none" w:sz="0" w:space="0" w:color="auto"/>
          </w:divBdr>
        </w:div>
        <w:div w:id="1138648069">
          <w:marLeft w:val="0"/>
          <w:marRight w:val="0"/>
          <w:marTop w:val="0"/>
          <w:marBottom w:val="0"/>
          <w:divBdr>
            <w:top w:val="none" w:sz="0" w:space="0" w:color="auto"/>
            <w:left w:val="none" w:sz="0" w:space="0" w:color="auto"/>
            <w:bottom w:val="none" w:sz="0" w:space="0" w:color="auto"/>
            <w:right w:val="none" w:sz="0" w:space="0" w:color="auto"/>
          </w:divBdr>
        </w:div>
        <w:div w:id="1139953452">
          <w:marLeft w:val="0"/>
          <w:marRight w:val="0"/>
          <w:marTop w:val="0"/>
          <w:marBottom w:val="0"/>
          <w:divBdr>
            <w:top w:val="none" w:sz="0" w:space="0" w:color="auto"/>
            <w:left w:val="none" w:sz="0" w:space="0" w:color="auto"/>
            <w:bottom w:val="none" w:sz="0" w:space="0" w:color="auto"/>
            <w:right w:val="none" w:sz="0" w:space="0" w:color="auto"/>
          </w:divBdr>
        </w:div>
        <w:div w:id="1177190171">
          <w:marLeft w:val="0"/>
          <w:marRight w:val="0"/>
          <w:marTop w:val="0"/>
          <w:marBottom w:val="0"/>
          <w:divBdr>
            <w:top w:val="none" w:sz="0" w:space="0" w:color="auto"/>
            <w:left w:val="none" w:sz="0" w:space="0" w:color="auto"/>
            <w:bottom w:val="none" w:sz="0" w:space="0" w:color="auto"/>
            <w:right w:val="none" w:sz="0" w:space="0" w:color="auto"/>
          </w:divBdr>
        </w:div>
        <w:div w:id="1407190246">
          <w:marLeft w:val="0"/>
          <w:marRight w:val="0"/>
          <w:marTop w:val="0"/>
          <w:marBottom w:val="0"/>
          <w:divBdr>
            <w:top w:val="none" w:sz="0" w:space="0" w:color="auto"/>
            <w:left w:val="none" w:sz="0" w:space="0" w:color="auto"/>
            <w:bottom w:val="none" w:sz="0" w:space="0" w:color="auto"/>
            <w:right w:val="none" w:sz="0" w:space="0" w:color="auto"/>
          </w:divBdr>
        </w:div>
        <w:div w:id="1730837217">
          <w:marLeft w:val="0"/>
          <w:marRight w:val="0"/>
          <w:marTop w:val="0"/>
          <w:marBottom w:val="0"/>
          <w:divBdr>
            <w:top w:val="none" w:sz="0" w:space="0" w:color="auto"/>
            <w:left w:val="none" w:sz="0" w:space="0" w:color="auto"/>
            <w:bottom w:val="none" w:sz="0" w:space="0" w:color="auto"/>
            <w:right w:val="none" w:sz="0" w:space="0" w:color="auto"/>
          </w:divBdr>
        </w:div>
        <w:div w:id="1783573273">
          <w:marLeft w:val="0"/>
          <w:marRight w:val="0"/>
          <w:marTop w:val="0"/>
          <w:marBottom w:val="0"/>
          <w:divBdr>
            <w:top w:val="none" w:sz="0" w:space="0" w:color="auto"/>
            <w:left w:val="none" w:sz="0" w:space="0" w:color="auto"/>
            <w:bottom w:val="none" w:sz="0" w:space="0" w:color="auto"/>
            <w:right w:val="none" w:sz="0" w:space="0" w:color="auto"/>
          </w:divBdr>
        </w:div>
      </w:divsChild>
    </w:div>
    <w:div w:id="72364733">
      <w:bodyDiv w:val="1"/>
      <w:marLeft w:val="0"/>
      <w:marRight w:val="0"/>
      <w:marTop w:val="0"/>
      <w:marBottom w:val="0"/>
      <w:divBdr>
        <w:top w:val="none" w:sz="0" w:space="0" w:color="auto"/>
        <w:left w:val="none" w:sz="0" w:space="0" w:color="auto"/>
        <w:bottom w:val="none" w:sz="0" w:space="0" w:color="auto"/>
        <w:right w:val="none" w:sz="0" w:space="0" w:color="auto"/>
      </w:divBdr>
      <w:divsChild>
        <w:div w:id="266668011">
          <w:marLeft w:val="0"/>
          <w:marRight w:val="0"/>
          <w:marTop w:val="0"/>
          <w:marBottom w:val="0"/>
          <w:divBdr>
            <w:top w:val="none" w:sz="0" w:space="0" w:color="auto"/>
            <w:left w:val="none" w:sz="0" w:space="0" w:color="auto"/>
            <w:bottom w:val="none" w:sz="0" w:space="0" w:color="auto"/>
            <w:right w:val="none" w:sz="0" w:space="0" w:color="auto"/>
          </w:divBdr>
        </w:div>
        <w:div w:id="387071520">
          <w:marLeft w:val="0"/>
          <w:marRight w:val="0"/>
          <w:marTop w:val="0"/>
          <w:marBottom w:val="0"/>
          <w:divBdr>
            <w:top w:val="none" w:sz="0" w:space="0" w:color="auto"/>
            <w:left w:val="none" w:sz="0" w:space="0" w:color="auto"/>
            <w:bottom w:val="none" w:sz="0" w:space="0" w:color="auto"/>
            <w:right w:val="none" w:sz="0" w:space="0" w:color="auto"/>
          </w:divBdr>
        </w:div>
        <w:div w:id="415396613">
          <w:marLeft w:val="0"/>
          <w:marRight w:val="0"/>
          <w:marTop w:val="0"/>
          <w:marBottom w:val="0"/>
          <w:divBdr>
            <w:top w:val="none" w:sz="0" w:space="0" w:color="auto"/>
            <w:left w:val="none" w:sz="0" w:space="0" w:color="auto"/>
            <w:bottom w:val="none" w:sz="0" w:space="0" w:color="auto"/>
            <w:right w:val="none" w:sz="0" w:space="0" w:color="auto"/>
          </w:divBdr>
        </w:div>
        <w:div w:id="448817548">
          <w:marLeft w:val="0"/>
          <w:marRight w:val="0"/>
          <w:marTop w:val="0"/>
          <w:marBottom w:val="0"/>
          <w:divBdr>
            <w:top w:val="none" w:sz="0" w:space="0" w:color="auto"/>
            <w:left w:val="none" w:sz="0" w:space="0" w:color="auto"/>
            <w:bottom w:val="none" w:sz="0" w:space="0" w:color="auto"/>
            <w:right w:val="none" w:sz="0" w:space="0" w:color="auto"/>
          </w:divBdr>
        </w:div>
        <w:div w:id="483277326">
          <w:marLeft w:val="0"/>
          <w:marRight w:val="0"/>
          <w:marTop w:val="0"/>
          <w:marBottom w:val="0"/>
          <w:divBdr>
            <w:top w:val="none" w:sz="0" w:space="0" w:color="auto"/>
            <w:left w:val="none" w:sz="0" w:space="0" w:color="auto"/>
            <w:bottom w:val="none" w:sz="0" w:space="0" w:color="auto"/>
            <w:right w:val="none" w:sz="0" w:space="0" w:color="auto"/>
          </w:divBdr>
        </w:div>
        <w:div w:id="562637899">
          <w:marLeft w:val="0"/>
          <w:marRight w:val="0"/>
          <w:marTop w:val="0"/>
          <w:marBottom w:val="0"/>
          <w:divBdr>
            <w:top w:val="none" w:sz="0" w:space="0" w:color="auto"/>
            <w:left w:val="none" w:sz="0" w:space="0" w:color="auto"/>
            <w:bottom w:val="none" w:sz="0" w:space="0" w:color="auto"/>
            <w:right w:val="none" w:sz="0" w:space="0" w:color="auto"/>
          </w:divBdr>
        </w:div>
        <w:div w:id="573124435">
          <w:marLeft w:val="0"/>
          <w:marRight w:val="0"/>
          <w:marTop w:val="0"/>
          <w:marBottom w:val="0"/>
          <w:divBdr>
            <w:top w:val="none" w:sz="0" w:space="0" w:color="auto"/>
            <w:left w:val="none" w:sz="0" w:space="0" w:color="auto"/>
            <w:bottom w:val="none" w:sz="0" w:space="0" w:color="auto"/>
            <w:right w:val="none" w:sz="0" w:space="0" w:color="auto"/>
          </w:divBdr>
        </w:div>
        <w:div w:id="669482148">
          <w:marLeft w:val="0"/>
          <w:marRight w:val="0"/>
          <w:marTop w:val="0"/>
          <w:marBottom w:val="0"/>
          <w:divBdr>
            <w:top w:val="none" w:sz="0" w:space="0" w:color="auto"/>
            <w:left w:val="none" w:sz="0" w:space="0" w:color="auto"/>
            <w:bottom w:val="none" w:sz="0" w:space="0" w:color="auto"/>
            <w:right w:val="none" w:sz="0" w:space="0" w:color="auto"/>
          </w:divBdr>
        </w:div>
        <w:div w:id="695231993">
          <w:marLeft w:val="0"/>
          <w:marRight w:val="0"/>
          <w:marTop w:val="0"/>
          <w:marBottom w:val="0"/>
          <w:divBdr>
            <w:top w:val="none" w:sz="0" w:space="0" w:color="auto"/>
            <w:left w:val="none" w:sz="0" w:space="0" w:color="auto"/>
            <w:bottom w:val="none" w:sz="0" w:space="0" w:color="auto"/>
            <w:right w:val="none" w:sz="0" w:space="0" w:color="auto"/>
          </w:divBdr>
        </w:div>
        <w:div w:id="879434417">
          <w:marLeft w:val="0"/>
          <w:marRight w:val="0"/>
          <w:marTop w:val="0"/>
          <w:marBottom w:val="0"/>
          <w:divBdr>
            <w:top w:val="none" w:sz="0" w:space="0" w:color="auto"/>
            <w:left w:val="none" w:sz="0" w:space="0" w:color="auto"/>
            <w:bottom w:val="none" w:sz="0" w:space="0" w:color="auto"/>
            <w:right w:val="none" w:sz="0" w:space="0" w:color="auto"/>
          </w:divBdr>
        </w:div>
        <w:div w:id="925726849">
          <w:marLeft w:val="0"/>
          <w:marRight w:val="0"/>
          <w:marTop w:val="0"/>
          <w:marBottom w:val="0"/>
          <w:divBdr>
            <w:top w:val="none" w:sz="0" w:space="0" w:color="auto"/>
            <w:left w:val="none" w:sz="0" w:space="0" w:color="auto"/>
            <w:bottom w:val="none" w:sz="0" w:space="0" w:color="auto"/>
            <w:right w:val="none" w:sz="0" w:space="0" w:color="auto"/>
          </w:divBdr>
        </w:div>
        <w:div w:id="946278210">
          <w:marLeft w:val="0"/>
          <w:marRight w:val="0"/>
          <w:marTop w:val="0"/>
          <w:marBottom w:val="0"/>
          <w:divBdr>
            <w:top w:val="none" w:sz="0" w:space="0" w:color="auto"/>
            <w:left w:val="none" w:sz="0" w:space="0" w:color="auto"/>
            <w:bottom w:val="none" w:sz="0" w:space="0" w:color="auto"/>
            <w:right w:val="none" w:sz="0" w:space="0" w:color="auto"/>
          </w:divBdr>
        </w:div>
        <w:div w:id="994839130">
          <w:marLeft w:val="0"/>
          <w:marRight w:val="0"/>
          <w:marTop w:val="0"/>
          <w:marBottom w:val="0"/>
          <w:divBdr>
            <w:top w:val="none" w:sz="0" w:space="0" w:color="auto"/>
            <w:left w:val="none" w:sz="0" w:space="0" w:color="auto"/>
            <w:bottom w:val="none" w:sz="0" w:space="0" w:color="auto"/>
            <w:right w:val="none" w:sz="0" w:space="0" w:color="auto"/>
          </w:divBdr>
          <w:divsChild>
            <w:div w:id="847057167">
              <w:marLeft w:val="0"/>
              <w:marRight w:val="0"/>
              <w:marTop w:val="0"/>
              <w:marBottom w:val="0"/>
              <w:divBdr>
                <w:top w:val="none" w:sz="0" w:space="0" w:color="auto"/>
                <w:left w:val="none" w:sz="0" w:space="0" w:color="auto"/>
                <w:bottom w:val="none" w:sz="0" w:space="0" w:color="auto"/>
                <w:right w:val="none" w:sz="0" w:space="0" w:color="auto"/>
              </w:divBdr>
            </w:div>
            <w:div w:id="1205560675">
              <w:marLeft w:val="0"/>
              <w:marRight w:val="0"/>
              <w:marTop w:val="0"/>
              <w:marBottom w:val="0"/>
              <w:divBdr>
                <w:top w:val="none" w:sz="0" w:space="0" w:color="auto"/>
                <w:left w:val="none" w:sz="0" w:space="0" w:color="auto"/>
                <w:bottom w:val="none" w:sz="0" w:space="0" w:color="auto"/>
                <w:right w:val="none" w:sz="0" w:space="0" w:color="auto"/>
              </w:divBdr>
            </w:div>
            <w:div w:id="1648119962">
              <w:marLeft w:val="0"/>
              <w:marRight w:val="0"/>
              <w:marTop w:val="0"/>
              <w:marBottom w:val="0"/>
              <w:divBdr>
                <w:top w:val="none" w:sz="0" w:space="0" w:color="auto"/>
                <w:left w:val="none" w:sz="0" w:space="0" w:color="auto"/>
                <w:bottom w:val="none" w:sz="0" w:space="0" w:color="auto"/>
                <w:right w:val="none" w:sz="0" w:space="0" w:color="auto"/>
              </w:divBdr>
            </w:div>
          </w:divsChild>
        </w:div>
        <w:div w:id="1021083455">
          <w:marLeft w:val="0"/>
          <w:marRight w:val="0"/>
          <w:marTop w:val="0"/>
          <w:marBottom w:val="0"/>
          <w:divBdr>
            <w:top w:val="none" w:sz="0" w:space="0" w:color="auto"/>
            <w:left w:val="none" w:sz="0" w:space="0" w:color="auto"/>
            <w:bottom w:val="none" w:sz="0" w:space="0" w:color="auto"/>
            <w:right w:val="none" w:sz="0" w:space="0" w:color="auto"/>
          </w:divBdr>
        </w:div>
        <w:div w:id="1087730779">
          <w:marLeft w:val="0"/>
          <w:marRight w:val="0"/>
          <w:marTop w:val="0"/>
          <w:marBottom w:val="0"/>
          <w:divBdr>
            <w:top w:val="none" w:sz="0" w:space="0" w:color="auto"/>
            <w:left w:val="none" w:sz="0" w:space="0" w:color="auto"/>
            <w:bottom w:val="none" w:sz="0" w:space="0" w:color="auto"/>
            <w:right w:val="none" w:sz="0" w:space="0" w:color="auto"/>
          </w:divBdr>
        </w:div>
        <w:div w:id="1092818901">
          <w:marLeft w:val="0"/>
          <w:marRight w:val="0"/>
          <w:marTop w:val="0"/>
          <w:marBottom w:val="0"/>
          <w:divBdr>
            <w:top w:val="none" w:sz="0" w:space="0" w:color="auto"/>
            <w:left w:val="none" w:sz="0" w:space="0" w:color="auto"/>
            <w:bottom w:val="none" w:sz="0" w:space="0" w:color="auto"/>
            <w:right w:val="none" w:sz="0" w:space="0" w:color="auto"/>
          </w:divBdr>
        </w:div>
        <w:div w:id="1103888756">
          <w:marLeft w:val="0"/>
          <w:marRight w:val="0"/>
          <w:marTop w:val="0"/>
          <w:marBottom w:val="0"/>
          <w:divBdr>
            <w:top w:val="none" w:sz="0" w:space="0" w:color="auto"/>
            <w:left w:val="none" w:sz="0" w:space="0" w:color="auto"/>
            <w:bottom w:val="none" w:sz="0" w:space="0" w:color="auto"/>
            <w:right w:val="none" w:sz="0" w:space="0" w:color="auto"/>
          </w:divBdr>
        </w:div>
        <w:div w:id="1292251728">
          <w:marLeft w:val="0"/>
          <w:marRight w:val="0"/>
          <w:marTop w:val="0"/>
          <w:marBottom w:val="0"/>
          <w:divBdr>
            <w:top w:val="none" w:sz="0" w:space="0" w:color="auto"/>
            <w:left w:val="none" w:sz="0" w:space="0" w:color="auto"/>
            <w:bottom w:val="none" w:sz="0" w:space="0" w:color="auto"/>
            <w:right w:val="none" w:sz="0" w:space="0" w:color="auto"/>
          </w:divBdr>
        </w:div>
        <w:div w:id="1321612796">
          <w:marLeft w:val="0"/>
          <w:marRight w:val="0"/>
          <w:marTop w:val="0"/>
          <w:marBottom w:val="0"/>
          <w:divBdr>
            <w:top w:val="none" w:sz="0" w:space="0" w:color="auto"/>
            <w:left w:val="none" w:sz="0" w:space="0" w:color="auto"/>
            <w:bottom w:val="none" w:sz="0" w:space="0" w:color="auto"/>
            <w:right w:val="none" w:sz="0" w:space="0" w:color="auto"/>
          </w:divBdr>
        </w:div>
        <w:div w:id="1425615203">
          <w:marLeft w:val="0"/>
          <w:marRight w:val="0"/>
          <w:marTop w:val="0"/>
          <w:marBottom w:val="0"/>
          <w:divBdr>
            <w:top w:val="none" w:sz="0" w:space="0" w:color="auto"/>
            <w:left w:val="none" w:sz="0" w:space="0" w:color="auto"/>
            <w:bottom w:val="none" w:sz="0" w:space="0" w:color="auto"/>
            <w:right w:val="none" w:sz="0" w:space="0" w:color="auto"/>
          </w:divBdr>
        </w:div>
        <w:div w:id="1484543541">
          <w:marLeft w:val="0"/>
          <w:marRight w:val="0"/>
          <w:marTop w:val="0"/>
          <w:marBottom w:val="0"/>
          <w:divBdr>
            <w:top w:val="none" w:sz="0" w:space="0" w:color="auto"/>
            <w:left w:val="none" w:sz="0" w:space="0" w:color="auto"/>
            <w:bottom w:val="none" w:sz="0" w:space="0" w:color="auto"/>
            <w:right w:val="none" w:sz="0" w:space="0" w:color="auto"/>
          </w:divBdr>
          <w:divsChild>
            <w:div w:id="69818830">
              <w:marLeft w:val="0"/>
              <w:marRight w:val="0"/>
              <w:marTop w:val="0"/>
              <w:marBottom w:val="0"/>
              <w:divBdr>
                <w:top w:val="none" w:sz="0" w:space="0" w:color="auto"/>
                <w:left w:val="none" w:sz="0" w:space="0" w:color="auto"/>
                <w:bottom w:val="none" w:sz="0" w:space="0" w:color="auto"/>
                <w:right w:val="none" w:sz="0" w:space="0" w:color="auto"/>
              </w:divBdr>
            </w:div>
            <w:div w:id="1326788605">
              <w:marLeft w:val="0"/>
              <w:marRight w:val="0"/>
              <w:marTop w:val="0"/>
              <w:marBottom w:val="0"/>
              <w:divBdr>
                <w:top w:val="none" w:sz="0" w:space="0" w:color="auto"/>
                <w:left w:val="none" w:sz="0" w:space="0" w:color="auto"/>
                <w:bottom w:val="none" w:sz="0" w:space="0" w:color="auto"/>
                <w:right w:val="none" w:sz="0" w:space="0" w:color="auto"/>
              </w:divBdr>
            </w:div>
            <w:div w:id="1471358374">
              <w:marLeft w:val="0"/>
              <w:marRight w:val="0"/>
              <w:marTop w:val="0"/>
              <w:marBottom w:val="0"/>
              <w:divBdr>
                <w:top w:val="none" w:sz="0" w:space="0" w:color="auto"/>
                <w:left w:val="none" w:sz="0" w:space="0" w:color="auto"/>
                <w:bottom w:val="none" w:sz="0" w:space="0" w:color="auto"/>
                <w:right w:val="none" w:sz="0" w:space="0" w:color="auto"/>
              </w:divBdr>
            </w:div>
          </w:divsChild>
        </w:div>
        <w:div w:id="1498035054">
          <w:marLeft w:val="0"/>
          <w:marRight w:val="0"/>
          <w:marTop w:val="0"/>
          <w:marBottom w:val="0"/>
          <w:divBdr>
            <w:top w:val="none" w:sz="0" w:space="0" w:color="auto"/>
            <w:left w:val="none" w:sz="0" w:space="0" w:color="auto"/>
            <w:bottom w:val="none" w:sz="0" w:space="0" w:color="auto"/>
            <w:right w:val="none" w:sz="0" w:space="0" w:color="auto"/>
          </w:divBdr>
        </w:div>
        <w:div w:id="1521049073">
          <w:marLeft w:val="0"/>
          <w:marRight w:val="0"/>
          <w:marTop w:val="0"/>
          <w:marBottom w:val="0"/>
          <w:divBdr>
            <w:top w:val="none" w:sz="0" w:space="0" w:color="auto"/>
            <w:left w:val="none" w:sz="0" w:space="0" w:color="auto"/>
            <w:bottom w:val="none" w:sz="0" w:space="0" w:color="auto"/>
            <w:right w:val="none" w:sz="0" w:space="0" w:color="auto"/>
          </w:divBdr>
        </w:div>
        <w:div w:id="1564409975">
          <w:marLeft w:val="0"/>
          <w:marRight w:val="0"/>
          <w:marTop w:val="0"/>
          <w:marBottom w:val="0"/>
          <w:divBdr>
            <w:top w:val="none" w:sz="0" w:space="0" w:color="auto"/>
            <w:left w:val="none" w:sz="0" w:space="0" w:color="auto"/>
            <w:bottom w:val="none" w:sz="0" w:space="0" w:color="auto"/>
            <w:right w:val="none" w:sz="0" w:space="0" w:color="auto"/>
          </w:divBdr>
        </w:div>
        <w:div w:id="1698505667">
          <w:marLeft w:val="0"/>
          <w:marRight w:val="0"/>
          <w:marTop w:val="0"/>
          <w:marBottom w:val="0"/>
          <w:divBdr>
            <w:top w:val="none" w:sz="0" w:space="0" w:color="auto"/>
            <w:left w:val="none" w:sz="0" w:space="0" w:color="auto"/>
            <w:bottom w:val="none" w:sz="0" w:space="0" w:color="auto"/>
            <w:right w:val="none" w:sz="0" w:space="0" w:color="auto"/>
          </w:divBdr>
        </w:div>
        <w:div w:id="1782334343">
          <w:marLeft w:val="0"/>
          <w:marRight w:val="0"/>
          <w:marTop w:val="0"/>
          <w:marBottom w:val="0"/>
          <w:divBdr>
            <w:top w:val="none" w:sz="0" w:space="0" w:color="auto"/>
            <w:left w:val="none" w:sz="0" w:space="0" w:color="auto"/>
            <w:bottom w:val="none" w:sz="0" w:space="0" w:color="auto"/>
            <w:right w:val="none" w:sz="0" w:space="0" w:color="auto"/>
          </w:divBdr>
        </w:div>
        <w:div w:id="1813254834">
          <w:marLeft w:val="0"/>
          <w:marRight w:val="0"/>
          <w:marTop w:val="0"/>
          <w:marBottom w:val="0"/>
          <w:divBdr>
            <w:top w:val="none" w:sz="0" w:space="0" w:color="auto"/>
            <w:left w:val="none" w:sz="0" w:space="0" w:color="auto"/>
            <w:bottom w:val="none" w:sz="0" w:space="0" w:color="auto"/>
            <w:right w:val="none" w:sz="0" w:space="0" w:color="auto"/>
          </w:divBdr>
        </w:div>
        <w:div w:id="1876311247">
          <w:marLeft w:val="0"/>
          <w:marRight w:val="0"/>
          <w:marTop w:val="0"/>
          <w:marBottom w:val="0"/>
          <w:divBdr>
            <w:top w:val="none" w:sz="0" w:space="0" w:color="auto"/>
            <w:left w:val="none" w:sz="0" w:space="0" w:color="auto"/>
            <w:bottom w:val="none" w:sz="0" w:space="0" w:color="auto"/>
            <w:right w:val="none" w:sz="0" w:space="0" w:color="auto"/>
          </w:divBdr>
        </w:div>
        <w:div w:id="1884368256">
          <w:marLeft w:val="0"/>
          <w:marRight w:val="0"/>
          <w:marTop w:val="0"/>
          <w:marBottom w:val="0"/>
          <w:divBdr>
            <w:top w:val="none" w:sz="0" w:space="0" w:color="auto"/>
            <w:left w:val="none" w:sz="0" w:space="0" w:color="auto"/>
            <w:bottom w:val="none" w:sz="0" w:space="0" w:color="auto"/>
            <w:right w:val="none" w:sz="0" w:space="0" w:color="auto"/>
          </w:divBdr>
        </w:div>
        <w:div w:id="1943495374">
          <w:marLeft w:val="0"/>
          <w:marRight w:val="0"/>
          <w:marTop w:val="0"/>
          <w:marBottom w:val="0"/>
          <w:divBdr>
            <w:top w:val="none" w:sz="0" w:space="0" w:color="auto"/>
            <w:left w:val="none" w:sz="0" w:space="0" w:color="auto"/>
            <w:bottom w:val="none" w:sz="0" w:space="0" w:color="auto"/>
            <w:right w:val="none" w:sz="0" w:space="0" w:color="auto"/>
          </w:divBdr>
        </w:div>
        <w:div w:id="1994136877">
          <w:marLeft w:val="0"/>
          <w:marRight w:val="0"/>
          <w:marTop w:val="0"/>
          <w:marBottom w:val="0"/>
          <w:divBdr>
            <w:top w:val="none" w:sz="0" w:space="0" w:color="auto"/>
            <w:left w:val="none" w:sz="0" w:space="0" w:color="auto"/>
            <w:bottom w:val="none" w:sz="0" w:space="0" w:color="auto"/>
            <w:right w:val="none" w:sz="0" w:space="0" w:color="auto"/>
          </w:divBdr>
        </w:div>
      </w:divsChild>
    </w:div>
    <w:div w:id="150995620">
      <w:bodyDiv w:val="1"/>
      <w:marLeft w:val="0"/>
      <w:marRight w:val="0"/>
      <w:marTop w:val="0"/>
      <w:marBottom w:val="0"/>
      <w:divBdr>
        <w:top w:val="none" w:sz="0" w:space="0" w:color="auto"/>
        <w:left w:val="none" w:sz="0" w:space="0" w:color="auto"/>
        <w:bottom w:val="none" w:sz="0" w:space="0" w:color="auto"/>
        <w:right w:val="none" w:sz="0" w:space="0" w:color="auto"/>
      </w:divBdr>
    </w:div>
    <w:div w:id="204489630">
      <w:bodyDiv w:val="1"/>
      <w:marLeft w:val="0"/>
      <w:marRight w:val="0"/>
      <w:marTop w:val="0"/>
      <w:marBottom w:val="0"/>
      <w:divBdr>
        <w:top w:val="none" w:sz="0" w:space="0" w:color="auto"/>
        <w:left w:val="none" w:sz="0" w:space="0" w:color="auto"/>
        <w:bottom w:val="none" w:sz="0" w:space="0" w:color="auto"/>
        <w:right w:val="none" w:sz="0" w:space="0" w:color="auto"/>
      </w:divBdr>
      <w:divsChild>
        <w:div w:id="490679559">
          <w:marLeft w:val="0"/>
          <w:marRight w:val="0"/>
          <w:marTop w:val="0"/>
          <w:marBottom w:val="0"/>
          <w:divBdr>
            <w:top w:val="none" w:sz="0" w:space="0" w:color="auto"/>
            <w:left w:val="none" w:sz="0" w:space="0" w:color="auto"/>
            <w:bottom w:val="none" w:sz="0" w:space="0" w:color="auto"/>
            <w:right w:val="none" w:sz="0" w:space="0" w:color="auto"/>
          </w:divBdr>
        </w:div>
        <w:div w:id="1111780649">
          <w:marLeft w:val="0"/>
          <w:marRight w:val="0"/>
          <w:marTop w:val="0"/>
          <w:marBottom w:val="0"/>
          <w:divBdr>
            <w:top w:val="none" w:sz="0" w:space="0" w:color="auto"/>
            <w:left w:val="none" w:sz="0" w:space="0" w:color="auto"/>
            <w:bottom w:val="none" w:sz="0" w:space="0" w:color="auto"/>
            <w:right w:val="none" w:sz="0" w:space="0" w:color="auto"/>
          </w:divBdr>
        </w:div>
        <w:div w:id="1271426183">
          <w:marLeft w:val="0"/>
          <w:marRight w:val="0"/>
          <w:marTop w:val="0"/>
          <w:marBottom w:val="0"/>
          <w:divBdr>
            <w:top w:val="none" w:sz="0" w:space="0" w:color="auto"/>
            <w:left w:val="none" w:sz="0" w:space="0" w:color="auto"/>
            <w:bottom w:val="none" w:sz="0" w:space="0" w:color="auto"/>
            <w:right w:val="none" w:sz="0" w:space="0" w:color="auto"/>
          </w:divBdr>
        </w:div>
        <w:div w:id="1669821655">
          <w:marLeft w:val="0"/>
          <w:marRight w:val="0"/>
          <w:marTop w:val="0"/>
          <w:marBottom w:val="0"/>
          <w:divBdr>
            <w:top w:val="none" w:sz="0" w:space="0" w:color="auto"/>
            <w:left w:val="none" w:sz="0" w:space="0" w:color="auto"/>
            <w:bottom w:val="none" w:sz="0" w:space="0" w:color="auto"/>
            <w:right w:val="none" w:sz="0" w:space="0" w:color="auto"/>
          </w:divBdr>
        </w:div>
        <w:div w:id="2131194271">
          <w:marLeft w:val="0"/>
          <w:marRight w:val="0"/>
          <w:marTop w:val="0"/>
          <w:marBottom w:val="0"/>
          <w:divBdr>
            <w:top w:val="none" w:sz="0" w:space="0" w:color="auto"/>
            <w:left w:val="none" w:sz="0" w:space="0" w:color="auto"/>
            <w:bottom w:val="none" w:sz="0" w:space="0" w:color="auto"/>
            <w:right w:val="none" w:sz="0" w:space="0" w:color="auto"/>
          </w:divBdr>
        </w:div>
      </w:divsChild>
    </w:div>
    <w:div w:id="409232841">
      <w:bodyDiv w:val="1"/>
      <w:marLeft w:val="0"/>
      <w:marRight w:val="0"/>
      <w:marTop w:val="0"/>
      <w:marBottom w:val="0"/>
      <w:divBdr>
        <w:top w:val="none" w:sz="0" w:space="0" w:color="auto"/>
        <w:left w:val="none" w:sz="0" w:space="0" w:color="auto"/>
        <w:bottom w:val="none" w:sz="0" w:space="0" w:color="auto"/>
        <w:right w:val="none" w:sz="0" w:space="0" w:color="auto"/>
      </w:divBdr>
      <w:divsChild>
        <w:div w:id="995643228">
          <w:marLeft w:val="0"/>
          <w:marRight w:val="0"/>
          <w:marTop w:val="0"/>
          <w:marBottom w:val="0"/>
          <w:divBdr>
            <w:top w:val="none" w:sz="0" w:space="0" w:color="auto"/>
            <w:left w:val="none" w:sz="0" w:space="0" w:color="auto"/>
            <w:bottom w:val="none" w:sz="0" w:space="0" w:color="auto"/>
            <w:right w:val="none" w:sz="0" w:space="0" w:color="auto"/>
          </w:divBdr>
        </w:div>
        <w:div w:id="1465345276">
          <w:marLeft w:val="0"/>
          <w:marRight w:val="0"/>
          <w:marTop w:val="0"/>
          <w:marBottom w:val="0"/>
          <w:divBdr>
            <w:top w:val="none" w:sz="0" w:space="0" w:color="auto"/>
            <w:left w:val="none" w:sz="0" w:space="0" w:color="auto"/>
            <w:bottom w:val="none" w:sz="0" w:space="0" w:color="auto"/>
            <w:right w:val="none" w:sz="0" w:space="0" w:color="auto"/>
          </w:divBdr>
        </w:div>
        <w:div w:id="1956788020">
          <w:marLeft w:val="0"/>
          <w:marRight w:val="0"/>
          <w:marTop w:val="0"/>
          <w:marBottom w:val="0"/>
          <w:divBdr>
            <w:top w:val="none" w:sz="0" w:space="0" w:color="auto"/>
            <w:left w:val="none" w:sz="0" w:space="0" w:color="auto"/>
            <w:bottom w:val="none" w:sz="0" w:space="0" w:color="auto"/>
            <w:right w:val="none" w:sz="0" w:space="0" w:color="auto"/>
          </w:divBdr>
        </w:div>
      </w:divsChild>
    </w:div>
    <w:div w:id="467089016">
      <w:bodyDiv w:val="1"/>
      <w:marLeft w:val="0"/>
      <w:marRight w:val="0"/>
      <w:marTop w:val="0"/>
      <w:marBottom w:val="0"/>
      <w:divBdr>
        <w:top w:val="none" w:sz="0" w:space="0" w:color="auto"/>
        <w:left w:val="none" w:sz="0" w:space="0" w:color="auto"/>
        <w:bottom w:val="none" w:sz="0" w:space="0" w:color="auto"/>
        <w:right w:val="none" w:sz="0" w:space="0" w:color="auto"/>
      </w:divBdr>
      <w:divsChild>
        <w:div w:id="829521409">
          <w:marLeft w:val="0"/>
          <w:marRight w:val="0"/>
          <w:marTop w:val="0"/>
          <w:marBottom w:val="0"/>
          <w:divBdr>
            <w:top w:val="none" w:sz="0" w:space="0" w:color="auto"/>
            <w:left w:val="none" w:sz="0" w:space="0" w:color="auto"/>
            <w:bottom w:val="none" w:sz="0" w:space="0" w:color="auto"/>
            <w:right w:val="none" w:sz="0" w:space="0" w:color="auto"/>
          </w:divBdr>
        </w:div>
        <w:div w:id="881601690">
          <w:marLeft w:val="0"/>
          <w:marRight w:val="0"/>
          <w:marTop w:val="0"/>
          <w:marBottom w:val="0"/>
          <w:divBdr>
            <w:top w:val="none" w:sz="0" w:space="0" w:color="auto"/>
            <w:left w:val="none" w:sz="0" w:space="0" w:color="auto"/>
            <w:bottom w:val="none" w:sz="0" w:space="0" w:color="auto"/>
            <w:right w:val="none" w:sz="0" w:space="0" w:color="auto"/>
          </w:divBdr>
        </w:div>
        <w:div w:id="1517695310">
          <w:marLeft w:val="0"/>
          <w:marRight w:val="0"/>
          <w:marTop w:val="0"/>
          <w:marBottom w:val="0"/>
          <w:divBdr>
            <w:top w:val="none" w:sz="0" w:space="0" w:color="auto"/>
            <w:left w:val="none" w:sz="0" w:space="0" w:color="auto"/>
            <w:bottom w:val="none" w:sz="0" w:space="0" w:color="auto"/>
            <w:right w:val="none" w:sz="0" w:space="0" w:color="auto"/>
          </w:divBdr>
        </w:div>
        <w:div w:id="1588003320">
          <w:marLeft w:val="0"/>
          <w:marRight w:val="0"/>
          <w:marTop w:val="0"/>
          <w:marBottom w:val="0"/>
          <w:divBdr>
            <w:top w:val="none" w:sz="0" w:space="0" w:color="auto"/>
            <w:left w:val="none" w:sz="0" w:space="0" w:color="auto"/>
            <w:bottom w:val="none" w:sz="0" w:space="0" w:color="auto"/>
            <w:right w:val="none" w:sz="0" w:space="0" w:color="auto"/>
          </w:divBdr>
        </w:div>
        <w:div w:id="1592005975">
          <w:marLeft w:val="0"/>
          <w:marRight w:val="0"/>
          <w:marTop w:val="0"/>
          <w:marBottom w:val="0"/>
          <w:divBdr>
            <w:top w:val="none" w:sz="0" w:space="0" w:color="auto"/>
            <w:left w:val="none" w:sz="0" w:space="0" w:color="auto"/>
            <w:bottom w:val="none" w:sz="0" w:space="0" w:color="auto"/>
            <w:right w:val="none" w:sz="0" w:space="0" w:color="auto"/>
          </w:divBdr>
        </w:div>
        <w:div w:id="1611618767">
          <w:marLeft w:val="0"/>
          <w:marRight w:val="0"/>
          <w:marTop w:val="0"/>
          <w:marBottom w:val="0"/>
          <w:divBdr>
            <w:top w:val="none" w:sz="0" w:space="0" w:color="auto"/>
            <w:left w:val="none" w:sz="0" w:space="0" w:color="auto"/>
            <w:bottom w:val="none" w:sz="0" w:space="0" w:color="auto"/>
            <w:right w:val="none" w:sz="0" w:space="0" w:color="auto"/>
          </w:divBdr>
        </w:div>
        <w:div w:id="1622419133">
          <w:marLeft w:val="0"/>
          <w:marRight w:val="0"/>
          <w:marTop w:val="0"/>
          <w:marBottom w:val="0"/>
          <w:divBdr>
            <w:top w:val="none" w:sz="0" w:space="0" w:color="auto"/>
            <w:left w:val="none" w:sz="0" w:space="0" w:color="auto"/>
            <w:bottom w:val="none" w:sz="0" w:space="0" w:color="auto"/>
            <w:right w:val="none" w:sz="0" w:space="0" w:color="auto"/>
          </w:divBdr>
        </w:div>
        <w:div w:id="1937903465">
          <w:marLeft w:val="0"/>
          <w:marRight w:val="0"/>
          <w:marTop w:val="0"/>
          <w:marBottom w:val="0"/>
          <w:divBdr>
            <w:top w:val="none" w:sz="0" w:space="0" w:color="auto"/>
            <w:left w:val="none" w:sz="0" w:space="0" w:color="auto"/>
            <w:bottom w:val="none" w:sz="0" w:space="0" w:color="auto"/>
            <w:right w:val="none" w:sz="0" w:space="0" w:color="auto"/>
          </w:divBdr>
        </w:div>
      </w:divsChild>
    </w:div>
    <w:div w:id="620108899">
      <w:bodyDiv w:val="1"/>
      <w:marLeft w:val="0"/>
      <w:marRight w:val="0"/>
      <w:marTop w:val="0"/>
      <w:marBottom w:val="0"/>
      <w:divBdr>
        <w:top w:val="none" w:sz="0" w:space="0" w:color="auto"/>
        <w:left w:val="none" w:sz="0" w:space="0" w:color="auto"/>
        <w:bottom w:val="none" w:sz="0" w:space="0" w:color="auto"/>
        <w:right w:val="none" w:sz="0" w:space="0" w:color="auto"/>
      </w:divBdr>
    </w:div>
    <w:div w:id="794716215">
      <w:bodyDiv w:val="1"/>
      <w:marLeft w:val="0"/>
      <w:marRight w:val="0"/>
      <w:marTop w:val="0"/>
      <w:marBottom w:val="0"/>
      <w:divBdr>
        <w:top w:val="none" w:sz="0" w:space="0" w:color="auto"/>
        <w:left w:val="none" w:sz="0" w:space="0" w:color="auto"/>
        <w:bottom w:val="none" w:sz="0" w:space="0" w:color="auto"/>
        <w:right w:val="none" w:sz="0" w:space="0" w:color="auto"/>
      </w:divBdr>
      <w:divsChild>
        <w:div w:id="76949184">
          <w:marLeft w:val="0"/>
          <w:marRight w:val="0"/>
          <w:marTop w:val="0"/>
          <w:marBottom w:val="0"/>
          <w:divBdr>
            <w:top w:val="none" w:sz="0" w:space="0" w:color="auto"/>
            <w:left w:val="none" w:sz="0" w:space="0" w:color="auto"/>
            <w:bottom w:val="none" w:sz="0" w:space="0" w:color="auto"/>
            <w:right w:val="none" w:sz="0" w:space="0" w:color="auto"/>
          </w:divBdr>
        </w:div>
        <w:div w:id="207576393">
          <w:marLeft w:val="0"/>
          <w:marRight w:val="0"/>
          <w:marTop w:val="0"/>
          <w:marBottom w:val="0"/>
          <w:divBdr>
            <w:top w:val="none" w:sz="0" w:space="0" w:color="auto"/>
            <w:left w:val="none" w:sz="0" w:space="0" w:color="auto"/>
            <w:bottom w:val="none" w:sz="0" w:space="0" w:color="auto"/>
            <w:right w:val="none" w:sz="0" w:space="0" w:color="auto"/>
          </w:divBdr>
        </w:div>
        <w:div w:id="717432127">
          <w:marLeft w:val="0"/>
          <w:marRight w:val="0"/>
          <w:marTop w:val="0"/>
          <w:marBottom w:val="0"/>
          <w:divBdr>
            <w:top w:val="none" w:sz="0" w:space="0" w:color="auto"/>
            <w:left w:val="none" w:sz="0" w:space="0" w:color="auto"/>
            <w:bottom w:val="none" w:sz="0" w:space="0" w:color="auto"/>
            <w:right w:val="none" w:sz="0" w:space="0" w:color="auto"/>
          </w:divBdr>
        </w:div>
        <w:div w:id="895821364">
          <w:marLeft w:val="0"/>
          <w:marRight w:val="0"/>
          <w:marTop w:val="0"/>
          <w:marBottom w:val="0"/>
          <w:divBdr>
            <w:top w:val="none" w:sz="0" w:space="0" w:color="auto"/>
            <w:left w:val="none" w:sz="0" w:space="0" w:color="auto"/>
            <w:bottom w:val="none" w:sz="0" w:space="0" w:color="auto"/>
            <w:right w:val="none" w:sz="0" w:space="0" w:color="auto"/>
          </w:divBdr>
        </w:div>
        <w:div w:id="1269964598">
          <w:marLeft w:val="0"/>
          <w:marRight w:val="0"/>
          <w:marTop w:val="0"/>
          <w:marBottom w:val="0"/>
          <w:divBdr>
            <w:top w:val="none" w:sz="0" w:space="0" w:color="auto"/>
            <w:left w:val="none" w:sz="0" w:space="0" w:color="auto"/>
            <w:bottom w:val="none" w:sz="0" w:space="0" w:color="auto"/>
            <w:right w:val="none" w:sz="0" w:space="0" w:color="auto"/>
          </w:divBdr>
        </w:div>
        <w:div w:id="1541940589">
          <w:marLeft w:val="0"/>
          <w:marRight w:val="0"/>
          <w:marTop w:val="0"/>
          <w:marBottom w:val="0"/>
          <w:divBdr>
            <w:top w:val="none" w:sz="0" w:space="0" w:color="auto"/>
            <w:left w:val="none" w:sz="0" w:space="0" w:color="auto"/>
            <w:bottom w:val="none" w:sz="0" w:space="0" w:color="auto"/>
            <w:right w:val="none" w:sz="0" w:space="0" w:color="auto"/>
          </w:divBdr>
        </w:div>
      </w:divsChild>
    </w:div>
    <w:div w:id="1114862572">
      <w:bodyDiv w:val="1"/>
      <w:marLeft w:val="0"/>
      <w:marRight w:val="0"/>
      <w:marTop w:val="0"/>
      <w:marBottom w:val="0"/>
      <w:divBdr>
        <w:top w:val="none" w:sz="0" w:space="0" w:color="auto"/>
        <w:left w:val="none" w:sz="0" w:space="0" w:color="auto"/>
        <w:bottom w:val="none" w:sz="0" w:space="0" w:color="auto"/>
        <w:right w:val="none" w:sz="0" w:space="0" w:color="auto"/>
      </w:divBdr>
      <w:divsChild>
        <w:div w:id="133066622">
          <w:marLeft w:val="0"/>
          <w:marRight w:val="0"/>
          <w:marTop w:val="0"/>
          <w:marBottom w:val="0"/>
          <w:divBdr>
            <w:top w:val="none" w:sz="0" w:space="0" w:color="auto"/>
            <w:left w:val="none" w:sz="0" w:space="0" w:color="auto"/>
            <w:bottom w:val="none" w:sz="0" w:space="0" w:color="auto"/>
            <w:right w:val="none" w:sz="0" w:space="0" w:color="auto"/>
          </w:divBdr>
        </w:div>
        <w:div w:id="541526305">
          <w:marLeft w:val="0"/>
          <w:marRight w:val="0"/>
          <w:marTop w:val="0"/>
          <w:marBottom w:val="0"/>
          <w:divBdr>
            <w:top w:val="none" w:sz="0" w:space="0" w:color="auto"/>
            <w:left w:val="none" w:sz="0" w:space="0" w:color="auto"/>
            <w:bottom w:val="none" w:sz="0" w:space="0" w:color="auto"/>
            <w:right w:val="none" w:sz="0" w:space="0" w:color="auto"/>
          </w:divBdr>
        </w:div>
        <w:div w:id="1173646370">
          <w:marLeft w:val="0"/>
          <w:marRight w:val="0"/>
          <w:marTop w:val="0"/>
          <w:marBottom w:val="0"/>
          <w:divBdr>
            <w:top w:val="none" w:sz="0" w:space="0" w:color="auto"/>
            <w:left w:val="none" w:sz="0" w:space="0" w:color="auto"/>
            <w:bottom w:val="none" w:sz="0" w:space="0" w:color="auto"/>
            <w:right w:val="none" w:sz="0" w:space="0" w:color="auto"/>
          </w:divBdr>
        </w:div>
        <w:div w:id="1317761710">
          <w:marLeft w:val="0"/>
          <w:marRight w:val="0"/>
          <w:marTop w:val="0"/>
          <w:marBottom w:val="0"/>
          <w:divBdr>
            <w:top w:val="none" w:sz="0" w:space="0" w:color="auto"/>
            <w:left w:val="none" w:sz="0" w:space="0" w:color="auto"/>
            <w:bottom w:val="none" w:sz="0" w:space="0" w:color="auto"/>
            <w:right w:val="none" w:sz="0" w:space="0" w:color="auto"/>
          </w:divBdr>
        </w:div>
        <w:div w:id="2122603670">
          <w:marLeft w:val="0"/>
          <w:marRight w:val="0"/>
          <w:marTop w:val="0"/>
          <w:marBottom w:val="0"/>
          <w:divBdr>
            <w:top w:val="none" w:sz="0" w:space="0" w:color="auto"/>
            <w:left w:val="none" w:sz="0" w:space="0" w:color="auto"/>
            <w:bottom w:val="none" w:sz="0" w:space="0" w:color="auto"/>
            <w:right w:val="none" w:sz="0" w:space="0" w:color="auto"/>
          </w:divBdr>
        </w:div>
      </w:divsChild>
    </w:div>
    <w:div w:id="1150099347">
      <w:bodyDiv w:val="1"/>
      <w:marLeft w:val="0"/>
      <w:marRight w:val="0"/>
      <w:marTop w:val="0"/>
      <w:marBottom w:val="0"/>
      <w:divBdr>
        <w:top w:val="none" w:sz="0" w:space="0" w:color="auto"/>
        <w:left w:val="none" w:sz="0" w:space="0" w:color="auto"/>
        <w:bottom w:val="none" w:sz="0" w:space="0" w:color="auto"/>
        <w:right w:val="none" w:sz="0" w:space="0" w:color="auto"/>
      </w:divBdr>
      <w:divsChild>
        <w:div w:id="729040102">
          <w:marLeft w:val="0"/>
          <w:marRight w:val="0"/>
          <w:marTop w:val="0"/>
          <w:marBottom w:val="0"/>
          <w:divBdr>
            <w:top w:val="none" w:sz="0" w:space="0" w:color="auto"/>
            <w:left w:val="none" w:sz="0" w:space="0" w:color="auto"/>
            <w:bottom w:val="none" w:sz="0" w:space="0" w:color="auto"/>
            <w:right w:val="none" w:sz="0" w:space="0" w:color="auto"/>
          </w:divBdr>
        </w:div>
      </w:divsChild>
    </w:div>
    <w:div w:id="1175847060">
      <w:bodyDiv w:val="1"/>
      <w:marLeft w:val="0"/>
      <w:marRight w:val="0"/>
      <w:marTop w:val="0"/>
      <w:marBottom w:val="0"/>
      <w:divBdr>
        <w:top w:val="none" w:sz="0" w:space="0" w:color="auto"/>
        <w:left w:val="none" w:sz="0" w:space="0" w:color="auto"/>
        <w:bottom w:val="none" w:sz="0" w:space="0" w:color="auto"/>
        <w:right w:val="none" w:sz="0" w:space="0" w:color="auto"/>
      </w:divBdr>
    </w:div>
    <w:div w:id="1252621728">
      <w:bodyDiv w:val="1"/>
      <w:marLeft w:val="0"/>
      <w:marRight w:val="0"/>
      <w:marTop w:val="0"/>
      <w:marBottom w:val="0"/>
      <w:divBdr>
        <w:top w:val="none" w:sz="0" w:space="0" w:color="auto"/>
        <w:left w:val="none" w:sz="0" w:space="0" w:color="auto"/>
        <w:bottom w:val="none" w:sz="0" w:space="0" w:color="auto"/>
        <w:right w:val="none" w:sz="0" w:space="0" w:color="auto"/>
      </w:divBdr>
      <w:divsChild>
        <w:div w:id="257446562">
          <w:marLeft w:val="0"/>
          <w:marRight w:val="0"/>
          <w:marTop w:val="0"/>
          <w:marBottom w:val="0"/>
          <w:divBdr>
            <w:top w:val="none" w:sz="0" w:space="0" w:color="auto"/>
            <w:left w:val="none" w:sz="0" w:space="0" w:color="auto"/>
            <w:bottom w:val="none" w:sz="0" w:space="0" w:color="auto"/>
            <w:right w:val="none" w:sz="0" w:space="0" w:color="auto"/>
          </w:divBdr>
        </w:div>
        <w:div w:id="739524055">
          <w:marLeft w:val="0"/>
          <w:marRight w:val="0"/>
          <w:marTop w:val="0"/>
          <w:marBottom w:val="0"/>
          <w:divBdr>
            <w:top w:val="none" w:sz="0" w:space="0" w:color="auto"/>
            <w:left w:val="none" w:sz="0" w:space="0" w:color="auto"/>
            <w:bottom w:val="none" w:sz="0" w:space="0" w:color="auto"/>
            <w:right w:val="none" w:sz="0" w:space="0" w:color="auto"/>
          </w:divBdr>
        </w:div>
        <w:div w:id="748892920">
          <w:marLeft w:val="0"/>
          <w:marRight w:val="0"/>
          <w:marTop w:val="0"/>
          <w:marBottom w:val="0"/>
          <w:divBdr>
            <w:top w:val="none" w:sz="0" w:space="0" w:color="auto"/>
            <w:left w:val="none" w:sz="0" w:space="0" w:color="auto"/>
            <w:bottom w:val="none" w:sz="0" w:space="0" w:color="auto"/>
            <w:right w:val="none" w:sz="0" w:space="0" w:color="auto"/>
          </w:divBdr>
        </w:div>
        <w:div w:id="944263195">
          <w:marLeft w:val="0"/>
          <w:marRight w:val="0"/>
          <w:marTop w:val="0"/>
          <w:marBottom w:val="0"/>
          <w:divBdr>
            <w:top w:val="none" w:sz="0" w:space="0" w:color="auto"/>
            <w:left w:val="none" w:sz="0" w:space="0" w:color="auto"/>
            <w:bottom w:val="none" w:sz="0" w:space="0" w:color="auto"/>
            <w:right w:val="none" w:sz="0" w:space="0" w:color="auto"/>
          </w:divBdr>
        </w:div>
        <w:div w:id="1085105628">
          <w:marLeft w:val="0"/>
          <w:marRight w:val="0"/>
          <w:marTop w:val="0"/>
          <w:marBottom w:val="0"/>
          <w:divBdr>
            <w:top w:val="none" w:sz="0" w:space="0" w:color="auto"/>
            <w:left w:val="none" w:sz="0" w:space="0" w:color="auto"/>
            <w:bottom w:val="none" w:sz="0" w:space="0" w:color="auto"/>
            <w:right w:val="none" w:sz="0" w:space="0" w:color="auto"/>
          </w:divBdr>
        </w:div>
      </w:divsChild>
    </w:div>
    <w:div w:id="1309170463">
      <w:bodyDiv w:val="1"/>
      <w:marLeft w:val="0"/>
      <w:marRight w:val="0"/>
      <w:marTop w:val="0"/>
      <w:marBottom w:val="0"/>
      <w:divBdr>
        <w:top w:val="none" w:sz="0" w:space="0" w:color="auto"/>
        <w:left w:val="none" w:sz="0" w:space="0" w:color="auto"/>
        <w:bottom w:val="none" w:sz="0" w:space="0" w:color="auto"/>
        <w:right w:val="none" w:sz="0" w:space="0" w:color="auto"/>
      </w:divBdr>
      <w:divsChild>
        <w:div w:id="30542831">
          <w:marLeft w:val="0"/>
          <w:marRight w:val="0"/>
          <w:marTop w:val="0"/>
          <w:marBottom w:val="0"/>
          <w:divBdr>
            <w:top w:val="none" w:sz="0" w:space="0" w:color="auto"/>
            <w:left w:val="none" w:sz="0" w:space="0" w:color="auto"/>
            <w:bottom w:val="none" w:sz="0" w:space="0" w:color="auto"/>
            <w:right w:val="none" w:sz="0" w:space="0" w:color="auto"/>
          </w:divBdr>
        </w:div>
        <w:div w:id="265818779">
          <w:marLeft w:val="0"/>
          <w:marRight w:val="0"/>
          <w:marTop w:val="0"/>
          <w:marBottom w:val="0"/>
          <w:divBdr>
            <w:top w:val="none" w:sz="0" w:space="0" w:color="auto"/>
            <w:left w:val="none" w:sz="0" w:space="0" w:color="auto"/>
            <w:bottom w:val="none" w:sz="0" w:space="0" w:color="auto"/>
            <w:right w:val="none" w:sz="0" w:space="0" w:color="auto"/>
          </w:divBdr>
        </w:div>
        <w:div w:id="338850678">
          <w:marLeft w:val="0"/>
          <w:marRight w:val="0"/>
          <w:marTop w:val="0"/>
          <w:marBottom w:val="0"/>
          <w:divBdr>
            <w:top w:val="none" w:sz="0" w:space="0" w:color="auto"/>
            <w:left w:val="none" w:sz="0" w:space="0" w:color="auto"/>
            <w:bottom w:val="none" w:sz="0" w:space="0" w:color="auto"/>
            <w:right w:val="none" w:sz="0" w:space="0" w:color="auto"/>
          </w:divBdr>
        </w:div>
        <w:div w:id="495539906">
          <w:marLeft w:val="0"/>
          <w:marRight w:val="0"/>
          <w:marTop w:val="0"/>
          <w:marBottom w:val="0"/>
          <w:divBdr>
            <w:top w:val="none" w:sz="0" w:space="0" w:color="auto"/>
            <w:left w:val="none" w:sz="0" w:space="0" w:color="auto"/>
            <w:bottom w:val="none" w:sz="0" w:space="0" w:color="auto"/>
            <w:right w:val="none" w:sz="0" w:space="0" w:color="auto"/>
          </w:divBdr>
        </w:div>
        <w:div w:id="625740959">
          <w:marLeft w:val="0"/>
          <w:marRight w:val="0"/>
          <w:marTop w:val="0"/>
          <w:marBottom w:val="0"/>
          <w:divBdr>
            <w:top w:val="none" w:sz="0" w:space="0" w:color="auto"/>
            <w:left w:val="none" w:sz="0" w:space="0" w:color="auto"/>
            <w:bottom w:val="none" w:sz="0" w:space="0" w:color="auto"/>
            <w:right w:val="none" w:sz="0" w:space="0" w:color="auto"/>
          </w:divBdr>
        </w:div>
        <w:div w:id="835345021">
          <w:marLeft w:val="0"/>
          <w:marRight w:val="0"/>
          <w:marTop w:val="0"/>
          <w:marBottom w:val="0"/>
          <w:divBdr>
            <w:top w:val="none" w:sz="0" w:space="0" w:color="auto"/>
            <w:left w:val="none" w:sz="0" w:space="0" w:color="auto"/>
            <w:bottom w:val="none" w:sz="0" w:space="0" w:color="auto"/>
            <w:right w:val="none" w:sz="0" w:space="0" w:color="auto"/>
          </w:divBdr>
        </w:div>
        <w:div w:id="964193480">
          <w:marLeft w:val="0"/>
          <w:marRight w:val="0"/>
          <w:marTop w:val="0"/>
          <w:marBottom w:val="0"/>
          <w:divBdr>
            <w:top w:val="none" w:sz="0" w:space="0" w:color="auto"/>
            <w:left w:val="none" w:sz="0" w:space="0" w:color="auto"/>
            <w:bottom w:val="none" w:sz="0" w:space="0" w:color="auto"/>
            <w:right w:val="none" w:sz="0" w:space="0" w:color="auto"/>
          </w:divBdr>
        </w:div>
        <w:div w:id="1444155454">
          <w:marLeft w:val="0"/>
          <w:marRight w:val="0"/>
          <w:marTop w:val="0"/>
          <w:marBottom w:val="0"/>
          <w:divBdr>
            <w:top w:val="none" w:sz="0" w:space="0" w:color="auto"/>
            <w:left w:val="none" w:sz="0" w:space="0" w:color="auto"/>
            <w:bottom w:val="none" w:sz="0" w:space="0" w:color="auto"/>
            <w:right w:val="none" w:sz="0" w:space="0" w:color="auto"/>
          </w:divBdr>
        </w:div>
        <w:div w:id="1787309155">
          <w:marLeft w:val="0"/>
          <w:marRight w:val="0"/>
          <w:marTop w:val="0"/>
          <w:marBottom w:val="0"/>
          <w:divBdr>
            <w:top w:val="none" w:sz="0" w:space="0" w:color="auto"/>
            <w:left w:val="none" w:sz="0" w:space="0" w:color="auto"/>
            <w:bottom w:val="none" w:sz="0" w:space="0" w:color="auto"/>
            <w:right w:val="none" w:sz="0" w:space="0" w:color="auto"/>
          </w:divBdr>
        </w:div>
        <w:div w:id="1846702586">
          <w:marLeft w:val="0"/>
          <w:marRight w:val="0"/>
          <w:marTop w:val="0"/>
          <w:marBottom w:val="0"/>
          <w:divBdr>
            <w:top w:val="none" w:sz="0" w:space="0" w:color="auto"/>
            <w:left w:val="none" w:sz="0" w:space="0" w:color="auto"/>
            <w:bottom w:val="none" w:sz="0" w:space="0" w:color="auto"/>
            <w:right w:val="none" w:sz="0" w:space="0" w:color="auto"/>
          </w:divBdr>
        </w:div>
        <w:div w:id="1924753707">
          <w:marLeft w:val="0"/>
          <w:marRight w:val="0"/>
          <w:marTop w:val="0"/>
          <w:marBottom w:val="0"/>
          <w:divBdr>
            <w:top w:val="none" w:sz="0" w:space="0" w:color="auto"/>
            <w:left w:val="none" w:sz="0" w:space="0" w:color="auto"/>
            <w:bottom w:val="none" w:sz="0" w:space="0" w:color="auto"/>
            <w:right w:val="none" w:sz="0" w:space="0" w:color="auto"/>
          </w:divBdr>
        </w:div>
      </w:divsChild>
    </w:div>
    <w:div w:id="1310548374">
      <w:bodyDiv w:val="1"/>
      <w:marLeft w:val="0"/>
      <w:marRight w:val="0"/>
      <w:marTop w:val="0"/>
      <w:marBottom w:val="0"/>
      <w:divBdr>
        <w:top w:val="none" w:sz="0" w:space="0" w:color="auto"/>
        <w:left w:val="none" w:sz="0" w:space="0" w:color="auto"/>
        <w:bottom w:val="none" w:sz="0" w:space="0" w:color="auto"/>
        <w:right w:val="none" w:sz="0" w:space="0" w:color="auto"/>
      </w:divBdr>
      <w:divsChild>
        <w:div w:id="542444156">
          <w:marLeft w:val="0"/>
          <w:marRight w:val="0"/>
          <w:marTop w:val="0"/>
          <w:marBottom w:val="0"/>
          <w:divBdr>
            <w:top w:val="none" w:sz="0" w:space="0" w:color="auto"/>
            <w:left w:val="none" w:sz="0" w:space="0" w:color="auto"/>
            <w:bottom w:val="none" w:sz="0" w:space="0" w:color="auto"/>
            <w:right w:val="none" w:sz="0" w:space="0" w:color="auto"/>
          </w:divBdr>
        </w:div>
        <w:div w:id="910889854">
          <w:marLeft w:val="0"/>
          <w:marRight w:val="0"/>
          <w:marTop w:val="0"/>
          <w:marBottom w:val="0"/>
          <w:divBdr>
            <w:top w:val="none" w:sz="0" w:space="0" w:color="auto"/>
            <w:left w:val="none" w:sz="0" w:space="0" w:color="auto"/>
            <w:bottom w:val="none" w:sz="0" w:space="0" w:color="auto"/>
            <w:right w:val="none" w:sz="0" w:space="0" w:color="auto"/>
          </w:divBdr>
        </w:div>
      </w:divsChild>
    </w:div>
    <w:div w:id="1582643363">
      <w:bodyDiv w:val="1"/>
      <w:marLeft w:val="0"/>
      <w:marRight w:val="0"/>
      <w:marTop w:val="0"/>
      <w:marBottom w:val="0"/>
      <w:divBdr>
        <w:top w:val="none" w:sz="0" w:space="0" w:color="auto"/>
        <w:left w:val="none" w:sz="0" w:space="0" w:color="auto"/>
        <w:bottom w:val="none" w:sz="0" w:space="0" w:color="auto"/>
        <w:right w:val="none" w:sz="0" w:space="0" w:color="auto"/>
      </w:divBdr>
      <w:divsChild>
        <w:div w:id="52506921">
          <w:marLeft w:val="0"/>
          <w:marRight w:val="0"/>
          <w:marTop w:val="0"/>
          <w:marBottom w:val="0"/>
          <w:divBdr>
            <w:top w:val="none" w:sz="0" w:space="0" w:color="auto"/>
            <w:left w:val="none" w:sz="0" w:space="0" w:color="auto"/>
            <w:bottom w:val="none" w:sz="0" w:space="0" w:color="auto"/>
            <w:right w:val="none" w:sz="0" w:space="0" w:color="auto"/>
          </w:divBdr>
        </w:div>
        <w:div w:id="113521196">
          <w:marLeft w:val="0"/>
          <w:marRight w:val="0"/>
          <w:marTop w:val="0"/>
          <w:marBottom w:val="0"/>
          <w:divBdr>
            <w:top w:val="none" w:sz="0" w:space="0" w:color="auto"/>
            <w:left w:val="none" w:sz="0" w:space="0" w:color="auto"/>
            <w:bottom w:val="none" w:sz="0" w:space="0" w:color="auto"/>
            <w:right w:val="none" w:sz="0" w:space="0" w:color="auto"/>
          </w:divBdr>
        </w:div>
        <w:div w:id="211233412">
          <w:marLeft w:val="0"/>
          <w:marRight w:val="0"/>
          <w:marTop w:val="0"/>
          <w:marBottom w:val="0"/>
          <w:divBdr>
            <w:top w:val="none" w:sz="0" w:space="0" w:color="auto"/>
            <w:left w:val="none" w:sz="0" w:space="0" w:color="auto"/>
            <w:bottom w:val="none" w:sz="0" w:space="0" w:color="auto"/>
            <w:right w:val="none" w:sz="0" w:space="0" w:color="auto"/>
          </w:divBdr>
        </w:div>
        <w:div w:id="212232587">
          <w:marLeft w:val="0"/>
          <w:marRight w:val="0"/>
          <w:marTop w:val="0"/>
          <w:marBottom w:val="0"/>
          <w:divBdr>
            <w:top w:val="none" w:sz="0" w:space="0" w:color="auto"/>
            <w:left w:val="none" w:sz="0" w:space="0" w:color="auto"/>
            <w:bottom w:val="none" w:sz="0" w:space="0" w:color="auto"/>
            <w:right w:val="none" w:sz="0" w:space="0" w:color="auto"/>
          </w:divBdr>
        </w:div>
        <w:div w:id="236861629">
          <w:marLeft w:val="0"/>
          <w:marRight w:val="0"/>
          <w:marTop w:val="0"/>
          <w:marBottom w:val="0"/>
          <w:divBdr>
            <w:top w:val="none" w:sz="0" w:space="0" w:color="auto"/>
            <w:left w:val="none" w:sz="0" w:space="0" w:color="auto"/>
            <w:bottom w:val="none" w:sz="0" w:space="0" w:color="auto"/>
            <w:right w:val="none" w:sz="0" w:space="0" w:color="auto"/>
          </w:divBdr>
        </w:div>
        <w:div w:id="242838119">
          <w:marLeft w:val="0"/>
          <w:marRight w:val="0"/>
          <w:marTop w:val="0"/>
          <w:marBottom w:val="0"/>
          <w:divBdr>
            <w:top w:val="none" w:sz="0" w:space="0" w:color="auto"/>
            <w:left w:val="none" w:sz="0" w:space="0" w:color="auto"/>
            <w:bottom w:val="none" w:sz="0" w:space="0" w:color="auto"/>
            <w:right w:val="none" w:sz="0" w:space="0" w:color="auto"/>
          </w:divBdr>
        </w:div>
        <w:div w:id="301933861">
          <w:marLeft w:val="0"/>
          <w:marRight w:val="0"/>
          <w:marTop w:val="0"/>
          <w:marBottom w:val="0"/>
          <w:divBdr>
            <w:top w:val="none" w:sz="0" w:space="0" w:color="auto"/>
            <w:left w:val="none" w:sz="0" w:space="0" w:color="auto"/>
            <w:bottom w:val="none" w:sz="0" w:space="0" w:color="auto"/>
            <w:right w:val="none" w:sz="0" w:space="0" w:color="auto"/>
          </w:divBdr>
        </w:div>
        <w:div w:id="343360556">
          <w:marLeft w:val="0"/>
          <w:marRight w:val="0"/>
          <w:marTop w:val="0"/>
          <w:marBottom w:val="0"/>
          <w:divBdr>
            <w:top w:val="none" w:sz="0" w:space="0" w:color="auto"/>
            <w:left w:val="none" w:sz="0" w:space="0" w:color="auto"/>
            <w:bottom w:val="none" w:sz="0" w:space="0" w:color="auto"/>
            <w:right w:val="none" w:sz="0" w:space="0" w:color="auto"/>
          </w:divBdr>
        </w:div>
        <w:div w:id="375617108">
          <w:marLeft w:val="0"/>
          <w:marRight w:val="0"/>
          <w:marTop w:val="0"/>
          <w:marBottom w:val="0"/>
          <w:divBdr>
            <w:top w:val="none" w:sz="0" w:space="0" w:color="auto"/>
            <w:left w:val="none" w:sz="0" w:space="0" w:color="auto"/>
            <w:bottom w:val="none" w:sz="0" w:space="0" w:color="auto"/>
            <w:right w:val="none" w:sz="0" w:space="0" w:color="auto"/>
          </w:divBdr>
        </w:div>
        <w:div w:id="531843360">
          <w:marLeft w:val="0"/>
          <w:marRight w:val="0"/>
          <w:marTop w:val="0"/>
          <w:marBottom w:val="0"/>
          <w:divBdr>
            <w:top w:val="none" w:sz="0" w:space="0" w:color="auto"/>
            <w:left w:val="none" w:sz="0" w:space="0" w:color="auto"/>
            <w:bottom w:val="none" w:sz="0" w:space="0" w:color="auto"/>
            <w:right w:val="none" w:sz="0" w:space="0" w:color="auto"/>
          </w:divBdr>
        </w:div>
        <w:div w:id="685327892">
          <w:marLeft w:val="0"/>
          <w:marRight w:val="0"/>
          <w:marTop w:val="0"/>
          <w:marBottom w:val="0"/>
          <w:divBdr>
            <w:top w:val="none" w:sz="0" w:space="0" w:color="auto"/>
            <w:left w:val="none" w:sz="0" w:space="0" w:color="auto"/>
            <w:bottom w:val="none" w:sz="0" w:space="0" w:color="auto"/>
            <w:right w:val="none" w:sz="0" w:space="0" w:color="auto"/>
          </w:divBdr>
        </w:div>
        <w:div w:id="794759349">
          <w:marLeft w:val="0"/>
          <w:marRight w:val="0"/>
          <w:marTop w:val="0"/>
          <w:marBottom w:val="0"/>
          <w:divBdr>
            <w:top w:val="none" w:sz="0" w:space="0" w:color="auto"/>
            <w:left w:val="none" w:sz="0" w:space="0" w:color="auto"/>
            <w:bottom w:val="none" w:sz="0" w:space="0" w:color="auto"/>
            <w:right w:val="none" w:sz="0" w:space="0" w:color="auto"/>
          </w:divBdr>
        </w:div>
        <w:div w:id="862668955">
          <w:marLeft w:val="0"/>
          <w:marRight w:val="0"/>
          <w:marTop w:val="0"/>
          <w:marBottom w:val="0"/>
          <w:divBdr>
            <w:top w:val="none" w:sz="0" w:space="0" w:color="auto"/>
            <w:left w:val="none" w:sz="0" w:space="0" w:color="auto"/>
            <w:bottom w:val="none" w:sz="0" w:space="0" w:color="auto"/>
            <w:right w:val="none" w:sz="0" w:space="0" w:color="auto"/>
          </w:divBdr>
        </w:div>
        <w:div w:id="946736323">
          <w:marLeft w:val="0"/>
          <w:marRight w:val="0"/>
          <w:marTop w:val="0"/>
          <w:marBottom w:val="0"/>
          <w:divBdr>
            <w:top w:val="none" w:sz="0" w:space="0" w:color="auto"/>
            <w:left w:val="none" w:sz="0" w:space="0" w:color="auto"/>
            <w:bottom w:val="none" w:sz="0" w:space="0" w:color="auto"/>
            <w:right w:val="none" w:sz="0" w:space="0" w:color="auto"/>
          </w:divBdr>
        </w:div>
        <w:div w:id="1066684068">
          <w:marLeft w:val="0"/>
          <w:marRight w:val="0"/>
          <w:marTop w:val="0"/>
          <w:marBottom w:val="0"/>
          <w:divBdr>
            <w:top w:val="none" w:sz="0" w:space="0" w:color="auto"/>
            <w:left w:val="none" w:sz="0" w:space="0" w:color="auto"/>
            <w:bottom w:val="none" w:sz="0" w:space="0" w:color="auto"/>
            <w:right w:val="none" w:sz="0" w:space="0" w:color="auto"/>
          </w:divBdr>
        </w:div>
        <w:div w:id="1149900575">
          <w:marLeft w:val="0"/>
          <w:marRight w:val="0"/>
          <w:marTop w:val="0"/>
          <w:marBottom w:val="0"/>
          <w:divBdr>
            <w:top w:val="none" w:sz="0" w:space="0" w:color="auto"/>
            <w:left w:val="none" w:sz="0" w:space="0" w:color="auto"/>
            <w:bottom w:val="none" w:sz="0" w:space="0" w:color="auto"/>
            <w:right w:val="none" w:sz="0" w:space="0" w:color="auto"/>
          </w:divBdr>
        </w:div>
        <w:div w:id="1202548010">
          <w:marLeft w:val="0"/>
          <w:marRight w:val="0"/>
          <w:marTop w:val="0"/>
          <w:marBottom w:val="0"/>
          <w:divBdr>
            <w:top w:val="none" w:sz="0" w:space="0" w:color="auto"/>
            <w:left w:val="none" w:sz="0" w:space="0" w:color="auto"/>
            <w:bottom w:val="none" w:sz="0" w:space="0" w:color="auto"/>
            <w:right w:val="none" w:sz="0" w:space="0" w:color="auto"/>
          </w:divBdr>
        </w:div>
        <w:div w:id="1204487202">
          <w:marLeft w:val="0"/>
          <w:marRight w:val="0"/>
          <w:marTop w:val="0"/>
          <w:marBottom w:val="0"/>
          <w:divBdr>
            <w:top w:val="none" w:sz="0" w:space="0" w:color="auto"/>
            <w:left w:val="none" w:sz="0" w:space="0" w:color="auto"/>
            <w:bottom w:val="none" w:sz="0" w:space="0" w:color="auto"/>
            <w:right w:val="none" w:sz="0" w:space="0" w:color="auto"/>
          </w:divBdr>
        </w:div>
        <w:div w:id="1239361282">
          <w:marLeft w:val="0"/>
          <w:marRight w:val="0"/>
          <w:marTop w:val="0"/>
          <w:marBottom w:val="0"/>
          <w:divBdr>
            <w:top w:val="none" w:sz="0" w:space="0" w:color="auto"/>
            <w:left w:val="none" w:sz="0" w:space="0" w:color="auto"/>
            <w:bottom w:val="none" w:sz="0" w:space="0" w:color="auto"/>
            <w:right w:val="none" w:sz="0" w:space="0" w:color="auto"/>
          </w:divBdr>
        </w:div>
        <w:div w:id="1316181687">
          <w:marLeft w:val="0"/>
          <w:marRight w:val="0"/>
          <w:marTop w:val="0"/>
          <w:marBottom w:val="0"/>
          <w:divBdr>
            <w:top w:val="none" w:sz="0" w:space="0" w:color="auto"/>
            <w:left w:val="none" w:sz="0" w:space="0" w:color="auto"/>
            <w:bottom w:val="none" w:sz="0" w:space="0" w:color="auto"/>
            <w:right w:val="none" w:sz="0" w:space="0" w:color="auto"/>
          </w:divBdr>
        </w:div>
        <w:div w:id="1370299699">
          <w:marLeft w:val="0"/>
          <w:marRight w:val="0"/>
          <w:marTop w:val="0"/>
          <w:marBottom w:val="0"/>
          <w:divBdr>
            <w:top w:val="none" w:sz="0" w:space="0" w:color="auto"/>
            <w:left w:val="none" w:sz="0" w:space="0" w:color="auto"/>
            <w:bottom w:val="none" w:sz="0" w:space="0" w:color="auto"/>
            <w:right w:val="none" w:sz="0" w:space="0" w:color="auto"/>
          </w:divBdr>
        </w:div>
        <w:div w:id="1626235813">
          <w:marLeft w:val="0"/>
          <w:marRight w:val="0"/>
          <w:marTop w:val="0"/>
          <w:marBottom w:val="0"/>
          <w:divBdr>
            <w:top w:val="none" w:sz="0" w:space="0" w:color="auto"/>
            <w:left w:val="none" w:sz="0" w:space="0" w:color="auto"/>
            <w:bottom w:val="none" w:sz="0" w:space="0" w:color="auto"/>
            <w:right w:val="none" w:sz="0" w:space="0" w:color="auto"/>
          </w:divBdr>
        </w:div>
        <w:div w:id="1798798756">
          <w:marLeft w:val="0"/>
          <w:marRight w:val="0"/>
          <w:marTop w:val="0"/>
          <w:marBottom w:val="0"/>
          <w:divBdr>
            <w:top w:val="none" w:sz="0" w:space="0" w:color="auto"/>
            <w:left w:val="none" w:sz="0" w:space="0" w:color="auto"/>
            <w:bottom w:val="none" w:sz="0" w:space="0" w:color="auto"/>
            <w:right w:val="none" w:sz="0" w:space="0" w:color="auto"/>
          </w:divBdr>
        </w:div>
        <w:div w:id="1928270255">
          <w:marLeft w:val="0"/>
          <w:marRight w:val="0"/>
          <w:marTop w:val="0"/>
          <w:marBottom w:val="0"/>
          <w:divBdr>
            <w:top w:val="none" w:sz="0" w:space="0" w:color="auto"/>
            <w:left w:val="none" w:sz="0" w:space="0" w:color="auto"/>
            <w:bottom w:val="none" w:sz="0" w:space="0" w:color="auto"/>
            <w:right w:val="none" w:sz="0" w:space="0" w:color="auto"/>
          </w:divBdr>
        </w:div>
        <w:div w:id="1992827995">
          <w:marLeft w:val="0"/>
          <w:marRight w:val="0"/>
          <w:marTop w:val="0"/>
          <w:marBottom w:val="0"/>
          <w:divBdr>
            <w:top w:val="none" w:sz="0" w:space="0" w:color="auto"/>
            <w:left w:val="none" w:sz="0" w:space="0" w:color="auto"/>
            <w:bottom w:val="none" w:sz="0" w:space="0" w:color="auto"/>
            <w:right w:val="none" w:sz="0" w:space="0" w:color="auto"/>
          </w:divBdr>
        </w:div>
        <w:div w:id="2065062659">
          <w:marLeft w:val="0"/>
          <w:marRight w:val="0"/>
          <w:marTop w:val="0"/>
          <w:marBottom w:val="0"/>
          <w:divBdr>
            <w:top w:val="none" w:sz="0" w:space="0" w:color="auto"/>
            <w:left w:val="none" w:sz="0" w:space="0" w:color="auto"/>
            <w:bottom w:val="none" w:sz="0" w:space="0" w:color="auto"/>
            <w:right w:val="none" w:sz="0" w:space="0" w:color="auto"/>
          </w:divBdr>
        </w:div>
        <w:div w:id="2111505487">
          <w:marLeft w:val="0"/>
          <w:marRight w:val="0"/>
          <w:marTop w:val="0"/>
          <w:marBottom w:val="0"/>
          <w:divBdr>
            <w:top w:val="none" w:sz="0" w:space="0" w:color="auto"/>
            <w:left w:val="none" w:sz="0" w:space="0" w:color="auto"/>
            <w:bottom w:val="none" w:sz="0" w:space="0" w:color="auto"/>
            <w:right w:val="none" w:sz="0" w:space="0" w:color="auto"/>
          </w:divBdr>
        </w:div>
      </w:divsChild>
    </w:div>
    <w:div w:id="1671519358">
      <w:bodyDiv w:val="1"/>
      <w:marLeft w:val="0"/>
      <w:marRight w:val="0"/>
      <w:marTop w:val="0"/>
      <w:marBottom w:val="0"/>
      <w:divBdr>
        <w:top w:val="none" w:sz="0" w:space="0" w:color="auto"/>
        <w:left w:val="none" w:sz="0" w:space="0" w:color="auto"/>
        <w:bottom w:val="none" w:sz="0" w:space="0" w:color="auto"/>
        <w:right w:val="none" w:sz="0" w:space="0" w:color="auto"/>
      </w:divBdr>
      <w:divsChild>
        <w:div w:id="983856813">
          <w:marLeft w:val="0"/>
          <w:marRight w:val="0"/>
          <w:marTop w:val="0"/>
          <w:marBottom w:val="0"/>
          <w:divBdr>
            <w:top w:val="none" w:sz="0" w:space="0" w:color="auto"/>
            <w:left w:val="none" w:sz="0" w:space="0" w:color="auto"/>
            <w:bottom w:val="none" w:sz="0" w:space="0" w:color="auto"/>
            <w:right w:val="none" w:sz="0" w:space="0" w:color="auto"/>
          </w:divBdr>
        </w:div>
        <w:div w:id="1746103055">
          <w:marLeft w:val="0"/>
          <w:marRight w:val="0"/>
          <w:marTop w:val="0"/>
          <w:marBottom w:val="0"/>
          <w:divBdr>
            <w:top w:val="none" w:sz="0" w:space="0" w:color="auto"/>
            <w:left w:val="none" w:sz="0" w:space="0" w:color="auto"/>
            <w:bottom w:val="none" w:sz="0" w:space="0" w:color="auto"/>
            <w:right w:val="none" w:sz="0" w:space="0" w:color="auto"/>
          </w:divBdr>
        </w:div>
      </w:divsChild>
    </w:div>
    <w:div w:id="1702243892">
      <w:bodyDiv w:val="1"/>
      <w:marLeft w:val="0"/>
      <w:marRight w:val="0"/>
      <w:marTop w:val="0"/>
      <w:marBottom w:val="0"/>
      <w:divBdr>
        <w:top w:val="none" w:sz="0" w:space="0" w:color="auto"/>
        <w:left w:val="none" w:sz="0" w:space="0" w:color="auto"/>
        <w:bottom w:val="none" w:sz="0" w:space="0" w:color="auto"/>
        <w:right w:val="none" w:sz="0" w:space="0" w:color="auto"/>
      </w:divBdr>
      <w:divsChild>
        <w:div w:id="1756630463">
          <w:marLeft w:val="0"/>
          <w:marRight w:val="0"/>
          <w:marTop w:val="0"/>
          <w:marBottom w:val="0"/>
          <w:divBdr>
            <w:top w:val="none" w:sz="0" w:space="0" w:color="auto"/>
            <w:left w:val="none" w:sz="0" w:space="0" w:color="auto"/>
            <w:bottom w:val="none" w:sz="0" w:space="0" w:color="auto"/>
            <w:right w:val="none" w:sz="0" w:space="0" w:color="auto"/>
          </w:divBdr>
        </w:div>
        <w:div w:id="1791975457">
          <w:marLeft w:val="0"/>
          <w:marRight w:val="0"/>
          <w:marTop w:val="0"/>
          <w:marBottom w:val="0"/>
          <w:divBdr>
            <w:top w:val="none" w:sz="0" w:space="0" w:color="auto"/>
            <w:left w:val="none" w:sz="0" w:space="0" w:color="auto"/>
            <w:bottom w:val="none" w:sz="0" w:space="0" w:color="auto"/>
            <w:right w:val="none" w:sz="0" w:space="0" w:color="auto"/>
          </w:divBdr>
        </w:div>
        <w:div w:id="2010327202">
          <w:marLeft w:val="0"/>
          <w:marRight w:val="0"/>
          <w:marTop w:val="0"/>
          <w:marBottom w:val="0"/>
          <w:divBdr>
            <w:top w:val="none" w:sz="0" w:space="0" w:color="auto"/>
            <w:left w:val="none" w:sz="0" w:space="0" w:color="auto"/>
            <w:bottom w:val="none" w:sz="0" w:space="0" w:color="auto"/>
            <w:right w:val="none" w:sz="0" w:space="0" w:color="auto"/>
          </w:divBdr>
        </w:div>
      </w:divsChild>
    </w:div>
    <w:div w:id="2124491180">
      <w:bodyDiv w:val="1"/>
      <w:marLeft w:val="0"/>
      <w:marRight w:val="0"/>
      <w:marTop w:val="0"/>
      <w:marBottom w:val="0"/>
      <w:divBdr>
        <w:top w:val="none" w:sz="0" w:space="0" w:color="auto"/>
        <w:left w:val="none" w:sz="0" w:space="0" w:color="auto"/>
        <w:bottom w:val="none" w:sz="0" w:space="0" w:color="auto"/>
        <w:right w:val="none" w:sz="0" w:space="0" w:color="auto"/>
      </w:divBdr>
    </w:div>
    <w:div w:id="2131197785">
      <w:bodyDiv w:val="1"/>
      <w:marLeft w:val="0"/>
      <w:marRight w:val="0"/>
      <w:marTop w:val="0"/>
      <w:marBottom w:val="0"/>
      <w:divBdr>
        <w:top w:val="none" w:sz="0" w:space="0" w:color="auto"/>
        <w:left w:val="none" w:sz="0" w:space="0" w:color="auto"/>
        <w:bottom w:val="none" w:sz="0" w:space="0" w:color="auto"/>
        <w:right w:val="none" w:sz="0" w:space="0" w:color="auto"/>
      </w:divBdr>
      <w:divsChild>
        <w:div w:id="116990037">
          <w:marLeft w:val="0"/>
          <w:marRight w:val="0"/>
          <w:marTop w:val="0"/>
          <w:marBottom w:val="0"/>
          <w:divBdr>
            <w:top w:val="none" w:sz="0" w:space="0" w:color="auto"/>
            <w:left w:val="none" w:sz="0" w:space="0" w:color="auto"/>
            <w:bottom w:val="none" w:sz="0" w:space="0" w:color="auto"/>
            <w:right w:val="none" w:sz="0" w:space="0" w:color="auto"/>
          </w:divBdr>
        </w:div>
        <w:div w:id="1200625999">
          <w:marLeft w:val="0"/>
          <w:marRight w:val="0"/>
          <w:marTop w:val="0"/>
          <w:marBottom w:val="0"/>
          <w:divBdr>
            <w:top w:val="none" w:sz="0" w:space="0" w:color="auto"/>
            <w:left w:val="none" w:sz="0" w:space="0" w:color="auto"/>
            <w:bottom w:val="none" w:sz="0" w:space="0" w:color="auto"/>
            <w:right w:val="none" w:sz="0" w:space="0" w:color="auto"/>
          </w:divBdr>
        </w:div>
        <w:div w:id="1477409979">
          <w:marLeft w:val="0"/>
          <w:marRight w:val="0"/>
          <w:marTop w:val="0"/>
          <w:marBottom w:val="0"/>
          <w:divBdr>
            <w:top w:val="none" w:sz="0" w:space="0" w:color="auto"/>
            <w:left w:val="none" w:sz="0" w:space="0" w:color="auto"/>
            <w:bottom w:val="none" w:sz="0" w:space="0" w:color="auto"/>
            <w:right w:val="none" w:sz="0" w:space="0" w:color="auto"/>
          </w:divBdr>
        </w:div>
        <w:div w:id="1831167786">
          <w:marLeft w:val="0"/>
          <w:marRight w:val="0"/>
          <w:marTop w:val="0"/>
          <w:marBottom w:val="0"/>
          <w:divBdr>
            <w:top w:val="none" w:sz="0" w:space="0" w:color="auto"/>
            <w:left w:val="none" w:sz="0" w:space="0" w:color="auto"/>
            <w:bottom w:val="none" w:sz="0" w:space="0" w:color="auto"/>
            <w:right w:val="none" w:sz="0" w:space="0" w:color="auto"/>
          </w:divBdr>
        </w:div>
      </w:divsChild>
    </w:div>
    <w:div w:id="2143306138">
      <w:bodyDiv w:val="1"/>
      <w:marLeft w:val="0"/>
      <w:marRight w:val="0"/>
      <w:marTop w:val="0"/>
      <w:marBottom w:val="0"/>
      <w:divBdr>
        <w:top w:val="none" w:sz="0" w:space="0" w:color="auto"/>
        <w:left w:val="none" w:sz="0" w:space="0" w:color="auto"/>
        <w:bottom w:val="none" w:sz="0" w:space="0" w:color="auto"/>
        <w:right w:val="none" w:sz="0" w:space="0" w:color="auto"/>
      </w:divBdr>
      <w:divsChild>
        <w:div w:id="411857514">
          <w:marLeft w:val="0"/>
          <w:marRight w:val="0"/>
          <w:marTop w:val="0"/>
          <w:marBottom w:val="0"/>
          <w:divBdr>
            <w:top w:val="none" w:sz="0" w:space="0" w:color="auto"/>
            <w:left w:val="none" w:sz="0" w:space="0" w:color="auto"/>
            <w:bottom w:val="none" w:sz="0" w:space="0" w:color="auto"/>
            <w:right w:val="none" w:sz="0" w:space="0" w:color="auto"/>
          </w:divBdr>
        </w:div>
        <w:div w:id="528881106">
          <w:marLeft w:val="0"/>
          <w:marRight w:val="0"/>
          <w:marTop w:val="0"/>
          <w:marBottom w:val="0"/>
          <w:divBdr>
            <w:top w:val="none" w:sz="0" w:space="0" w:color="auto"/>
            <w:left w:val="none" w:sz="0" w:space="0" w:color="auto"/>
            <w:bottom w:val="none" w:sz="0" w:space="0" w:color="auto"/>
            <w:right w:val="none" w:sz="0" w:space="0" w:color="auto"/>
          </w:divBdr>
        </w:div>
        <w:div w:id="842016233">
          <w:marLeft w:val="0"/>
          <w:marRight w:val="0"/>
          <w:marTop w:val="0"/>
          <w:marBottom w:val="0"/>
          <w:divBdr>
            <w:top w:val="none" w:sz="0" w:space="0" w:color="auto"/>
            <w:left w:val="none" w:sz="0" w:space="0" w:color="auto"/>
            <w:bottom w:val="none" w:sz="0" w:space="0" w:color="auto"/>
            <w:right w:val="none" w:sz="0" w:space="0" w:color="auto"/>
          </w:divBdr>
        </w:div>
        <w:div w:id="945312516">
          <w:marLeft w:val="0"/>
          <w:marRight w:val="0"/>
          <w:marTop w:val="0"/>
          <w:marBottom w:val="0"/>
          <w:divBdr>
            <w:top w:val="none" w:sz="0" w:space="0" w:color="auto"/>
            <w:left w:val="none" w:sz="0" w:space="0" w:color="auto"/>
            <w:bottom w:val="none" w:sz="0" w:space="0" w:color="auto"/>
            <w:right w:val="none" w:sz="0" w:space="0" w:color="auto"/>
          </w:divBdr>
        </w:div>
        <w:div w:id="1106727465">
          <w:marLeft w:val="0"/>
          <w:marRight w:val="0"/>
          <w:marTop w:val="0"/>
          <w:marBottom w:val="0"/>
          <w:divBdr>
            <w:top w:val="none" w:sz="0" w:space="0" w:color="auto"/>
            <w:left w:val="none" w:sz="0" w:space="0" w:color="auto"/>
            <w:bottom w:val="none" w:sz="0" w:space="0" w:color="auto"/>
            <w:right w:val="none" w:sz="0" w:space="0" w:color="auto"/>
          </w:divBdr>
        </w:div>
        <w:div w:id="1265648481">
          <w:marLeft w:val="0"/>
          <w:marRight w:val="0"/>
          <w:marTop w:val="0"/>
          <w:marBottom w:val="0"/>
          <w:divBdr>
            <w:top w:val="none" w:sz="0" w:space="0" w:color="auto"/>
            <w:left w:val="none" w:sz="0" w:space="0" w:color="auto"/>
            <w:bottom w:val="none" w:sz="0" w:space="0" w:color="auto"/>
            <w:right w:val="none" w:sz="0" w:space="0" w:color="auto"/>
          </w:divBdr>
        </w:div>
        <w:div w:id="1886021367">
          <w:marLeft w:val="0"/>
          <w:marRight w:val="0"/>
          <w:marTop w:val="0"/>
          <w:marBottom w:val="0"/>
          <w:divBdr>
            <w:top w:val="none" w:sz="0" w:space="0" w:color="auto"/>
            <w:left w:val="none" w:sz="0" w:space="0" w:color="auto"/>
            <w:bottom w:val="none" w:sz="0" w:space="0" w:color="auto"/>
            <w:right w:val="none" w:sz="0" w:space="0" w:color="auto"/>
          </w:divBdr>
        </w:div>
        <w:div w:id="1889293801">
          <w:marLeft w:val="0"/>
          <w:marRight w:val="0"/>
          <w:marTop w:val="0"/>
          <w:marBottom w:val="0"/>
          <w:divBdr>
            <w:top w:val="none" w:sz="0" w:space="0" w:color="auto"/>
            <w:left w:val="none" w:sz="0" w:space="0" w:color="auto"/>
            <w:bottom w:val="none" w:sz="0" w:space="0" w:color="auto"/>
            <w:right w:val="none" w:sz="0" w:space="0" w:color="auto"/>
          </w:divBdr>
        </w:div>
        <w:div w:id="192618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gov.au/about/news/childrens-rights-must-come-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6A87826006448A9FE8C6DC279F299" ma:contentTypeVersion="4" ma:contentTypeDescription="Create a new document." ma:contentTypeScope="" ma:versionID="087545a6dae0bd6d7fddd0f0f0789d87">
  <xsd:schema xmlns:xsd="http://www.w3.org/2001/XMLSchema" xmlns:xs="http://www.w3.org/2001/XMLSchema" xmlns:p="http://schemas.microsoft.com/office/2006/metadata/properties" xmlns:ns3="05c29bad-222d-4652-86ec-9049bdeb16e0" targetNamespace="http://schemas.microsoft.com/office/2006/metadata/properties" ma:root="true" ma:fieldsID="41b96dda32d10ecaf72e8a4a615b904c" ns3:_="">
    <xsd:import namespace="05c29bad-222d-4652-86ec-9049bdeb16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9bad-222d-4652-86ec-9049bdeb1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9E12-1918-4703-B459-7DEB2ED4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29bad-222d-4652-86ec-9049bdeb1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9147D-02B6-4DAB-A4D1-D4670FA105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475C4-E535-4931-8B71-9435EA39AC8A}">
  <ds:schemaRefs>
    <ds:schemaRef ds:uri="http://schemas.microsoft.com/sharepoint/v3/contenttype/forms"/>
  </ds:schemaRefs>
</ds:datastoreItem>
</file>

<file path=customXml/itemProps4.xml><?xml version="1.0" encoding="utf-8"?>
<ds:datastoreItem xmlns:ds="http://schemas.openxmlformats.org/officeDocument/2006/customXml" ds:itemID="{D692C514-5537-4B59-B402-0262E966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9014</Words>
  <Characters>51383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South Australia’s Youth Justice State Plan 2020 to 2023</vt:lpstr>
    </vt:vector>
  </TitlesOfParts>
  <Company/>
  <LinksUpToDate>false</LinksUpToDate>
  <CharactersWithSpaces>60277</CharactersWithSpaces>
  <SharedDoc>false</SharedDoc>
  <HLinks>
    <vt:vector size="90" baseType="variant">
      <vt:variant>
        <vt:i4>1376317</vt:i4>
      </vt:variant>
      <vt:variant>
        <vt:i4>80</vt:i4>
      </vt:variant>
      <vt:variant>
        <vt:i4>0</vt:i4>
      </vt:variant>
      <vt:variant>
        <vt:i4>5</vt:i4>
      </vt:variant>
      <vt:variant>
        <vt:lpwstr/>
      </vt:variant>
      <vt:variant>
        <vt:lpwstr>_Toc36814421</vt:lpwstr>
      </vt:variant>
      <vt:variant>
        <vt:i4>1310781</vt:i4>
      </vt:variant>
      <vt:variant>
        <vt:i4>74</vt:i4>
      </vt:variant>
      <vt:variant>
        <vt:i4>0</vt:i4>
      </vt:variant>
      <vt:variant>
        <vt:i4>5</vt:i4>
      </vt:variant>
      <vt:variant>
        <vt:lpwstr/>
      </vt:variant>
      <vt:variant>
        <vt:lpwstr>_Toc36814420</vt:lpwstr>
      </vt:variant>
      <vt:variant>
        <vt:i4>1900606</vt:i4>
      </vt:variant>
      <vt:variant>
        <vt:i4>68</vt:i4>
      </vt:variant>
      <vt:variant>
        <vt:i4>0</vt:i4>
      </vt:variant>
      <vt:variant>
        <vt:i4>5</vt:i4>
      </vt:variant>
      <vt:variant>
        <vt:lpwstr/>
      </vt:variant>
      <vt:variant>
        <vt:lpwstr>_Toc36814419</vt:lpwstr>
      </vt:variant>
      <vt:variant>
        <vt:i4>1835070</vt:i4>
      </vt:variant>
      <vt:variant>
        <vt:i4>62</vt:i4>
      </vt:variant>
      <vt:variant>
        <vt:i4>0</vt:i4>
      </vt:variant>
      <vt:variant>
        <vt:i4>5</vt:i4>
      </vt:variant>
      <vt:variant>
        <vt:lpwstr/>
      </vt:variant>
      <vt:variant>
        <vt:lpwstr>_Toc36814418</vt:lpwstr>
      </vt:variant>
      <vt:variant>
        <vt:i4>1245246</vt:i4>
      </vt:variant>
      <vt:variant>
        <vt:i4>56</vt:i4>
      </vt:variant>
      <vt:variant>
        <vt:i4>0</vt:i4>
      </vt:variant>
      <vt:variant>
        <vt:i4>5</vt:i4>
      </vt:variant>
      <vt:variant>
        <vt:lpwstr/>
      </vt:variant>
      <vt:variant>
        <vt:lpwstr>_Toc36814417</vt:lpwstr>
      </vt:variant>
      <vt:variant>
        <vt:i4>1179710</vt:i4>
      </vt:variant>
      <vt:variant>
        <vt:i4>50</vt:i4>
      </vt:variant>
      <vt:variant>
        <vt:i4>0</vt:i4>
      </vt:variant>
      <vt:variant>
        <vt:i4>5</vt:i4>
      </vt:variant>
      <vt:variant>
        <vt:lpwstr/>
      </vt:variant>
      <vt:variant>
        <vt:lpwstr>_Toc36814416</vt:lpwstr>
      </vt:variant>
      <vt:variant>
        <vt:i4>1114174</vt:i4>
      </vt:variant>
      <vt:variant>
        <vt:i4>44</vt:i4>
      </vt:variant>
      <vt:variant>
        <vt:i4>0</vt:i4>
      </vt:variant>
      <vt:variant>
        <vt:i4>5</vt:i4>
      </vt:variant>
      <vt:variant>
        <vt:lpwstr/>
      </vt:variant>
      <vt:variant>
        <vt:lpwstr>_Toc36814415</vt:lpwstr>
      </vt:variant>
      <vt:variant>
        <vt:i4>1048638</vt:i4>
      </vt:variant>
      <vt:variant>
        <vt:i4>38</vt:i4>
      </vt:variant>
      <vt:variant>
        <vt:i4>0</vt:i4>
      </vt:variant>
      <vt:variant>
        <vt:i4>5</vt:i4>
      </vt:variant>
      <vt:variant>
        <vt:lpwstr/>
      </vt:variant>
      <vt:variant>
        <vt:lpwstr>_Toc36814414</vt:lpwstr>
      </vt:variant>
      <vt:variant>
        <vt:i4>1507390</vt:i4>
      </vt:variant>
      <vt:variant>
        <vt:i4>32</vt:i4>
      </vt:variant>
      <vt:variant>
        <vt:i4>0</vt:i4>
      </vt:variant>
      <vt:variant>
        <vt:i4>5</vt:i4>
      </vt:variant>
      <vt:variant>
        <vt:lpwstr/>
      </vt:variant>
      <vt:variant>
        <vt:lpwstr>_Toc36814413</vt:lpwstr>
      </vt:variant>
      <vt:variant>
        <vt:i4>1441854</vt:i4>
      </vt:variant>
      <vt:variant>
        <vt:i4>26</vt:i4>
      </vt:variant>
      <vt:variant>
        <vt:i4>0</vt:i4>
      </vt:variant>
      <vt:variant>
        <vt:i4>5</vt:i4>
      </vt:variant>
      <vt:variant>
        <vt:lpwstr/>
      </vt:variant>
      <vt:variant>
        <vt:lpwstr>_Toc36814412</vt:lpwstr>
      </vt:variant>
      <vt:variant>
        <vt:i4>1376318</vt:i4>
      </vt:variant>
      <vt:variant>
        <vt:i4>20</vt:i4>
      </vt:variant>
      <vt:variant>
        <vt:i4>0</vt:i4>
      </vt:variant>
      <vt:variant>
        <vt:i4>5</vt:i4>
      </vt:variant>
      <vt:variant>
        <vt:lpwstr/>
      </vt:variant>
      <vt:variant>
        <vt:lpwstr>_Toc36814411</vt:lpwstr>
      </vt:variant>
      <vt:variant>
        <vt:i4>1310782</vt:i4>
      </vt:variant>
      <vt:variant>
        <vt:i4>14</vt:i4>
      </vt:variant>
      <vt:variant>
        <vt:i4>0</vt:i4>
      </vt:variant>
      <vt:variant>
        <vt:i4>5</vt:i4>
      </vt:variant>
      <vt:variant>
        <vt:lpwstr/>
      </vt:variant>
      <vt:variant>
        <vt:lpwstr>_Toc36814410</vt:lpwstr>
      </vt:variant>
      <vt:variant>
        <vt:i4>1900607</vt:i4>
      </vt:variant>
      <vt:variant>
        <vt:i4>8</vt:i4>
      </vt:variant>
      <vt:variant>
        <vt:i4>0</vt:i4>
      </vt:variant>
      <vt:variant>
        <vt:i4>5</vt:i4>
      </vt:variant>
      <vt:variant>
        <vt:lpwstr/>
      </vt:variant>
      <vt:variant>
        <vt:lpwstr>_Toc36814409</vt:lpwstr>
      </vt:variant>
      <vt:variant>
        <vt:i4>1835071</vt:i4>
      </vt:variant>
      <vt:variant>
        <vt:i4>2</vt:i4>
      </vt:variant>
      <vt:variant>
        <vt:i4>0</vt:i4>
      </vt:variant>
      <vt:variant>
        <vt:i4>5</vt:i4>
      </vt:variant>
      <vt:variant>
        <vt:lpwstr/>
      </vt:variant>
      <vt:variant>
        <vt:lpwstr>_Toc36814408</vt:lpwstr>
      </vt:variant>
      <vt:variant>
        <vt:i4>7667748</vt:i4>
      </vt:variant>
      <vt:variant>
        <vt:i4>0</vt:i4>
      </vt:variant>
      <vt:variant>
        <vt:i4>0</vt:i4>
      </vt:variant>
      <vt:variant>
        <vt:i4>5</vt:i4>
      </vt:variant>
      <vt:variant>
        <vt:lpwstr>https://www.humanrights.gov.au/about/news/childrens-rights-must-come-first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Australia’s Youth Justice State Plan 2020 to 2023</dc:title>
  <dc:subject/>
  <dc:creator>Anna Bartsch;Mark.Neuling@sa.gov.au</dc:creator>
  <cp:keywords/>
  <dc:description/>
  <cp:lastModifiedBy>Edwards, Stephanie (DHS)</cp:lastModifiedBy>
  <cp:revision>7</cp:revision>
  <cp:lastPrinted>2020-03-21T00:53:00Z</cp:lastPrinted>
  <dcterms:created xsi:type="dcterms:W3CDTF">2020-06-11T01:17:00Z</dcterms:created>
  <dcterms:modified xsi:type="dcterms:W3CDTF">2020-06-11T01:48:00Z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0x010100A836A87826006448A9FE8C6DC279F299</vt:lpwstr>
  </property>
</Properties>
</file>