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F7AA" w14:textId="71AF0D94" w:rsidR="00756417" w:rsidRPr="008A0919" w:rsidRDefault="00CB0676" w:rsidP="008A0919">
      <w:pPr>
        <w:pStyle w:val="Heading1"/>
      </w:pPr>
      <w:bookmarkStart w:id="0" w:name="_Toc52542240"/>
      <w:bookmarkStart w:id="1" w:name="_Toc52542445"/>
      <w:bookmarkStart w:id="2" w:name="_Toc53041856"/>
      <w:r w:rsidRPr="008A0919">
        <w:t>D</w:t>
      </w:r>
      <w:r w:rsidR="00756417" w:rsidRPr="008A0919">
        <w:t>epartment of Human Services</w:t>
      </w:r>
      <w:r w:rsidRPr="008A0919">
        <w:br/>
      </w:r>
      <w:r w:rsidR="00756417" w:rsidRPr="008A0919">
        <w:t>Disability Access and Inclusion Plan (DAIP)</w:t>
      </w:r>
      <w:bookmarkEnd w:id="0"/>
      <w:bookmarkEnd w:id="1"/>
      <w:r w:rsidR="006B5653" w:rsidRPr="008A0919">
        <w:t xml:space="preserve"> 2020–2024</w:t>
      </w:r>
      <w:bookmarkEnd w:id="2"/>
    </w:p>
    <w:p w14:paraId="18C5BB0F" w14:textId="1416BF20" w:rsidR="00A32577" w:rsidRPr="00D2626A" w:rsidRDefault="003B3CE6" w:rsidP="00DE3A93">
      <w:pPr>
        <w:pStyle w:val="Heading2"/>
      </w:pPr>
      <w:bookmarkStart w:id="3" w:name="_Toc52542241"/>
      <w:bookmarkStart w:id="4" w:name="_Toc53041857"/>
      <w:r w:rsidRPr="00D2626A">
        <w:t xml:space="preserve">Message from the </w:t>
      </w:r>
      <w:r w:rsidR="00A32577" w:rsidRPr="00D2626A">
        <w:t>Chief Executive</w:t>
      </w:r>
      <w:r w:rsidR="00ED4DFC" w:rsidRPr="00D2626A">
        <w:br/>
      </w:r>
      <w:r w:rsidRPr="00D2626A">
        <w:t>Department of Human Services</w:t>
      </w:r>
      <w:bookmarkEnd w:id="3"/>
      <w:bookmarkEnd w:id="4"/>
      <w:r w:rsidR="00A32577" w:rsidRPr="00D2626A">
        <w:t xml:space="preserve"> </w:t>
      </w:r>
    </w:p>
    <w:p w14:paraId="52AAC13C" w14:textId="5C72E65A" w:rsidR="00D2258F" w:rsidRPr="00D2258F" w:rsidRDefault="00D2258F" w:rsidP="00F82A7E">
      <w:pPr>
        <w:rPr>
          <w:rFonts w:eastAsia="Calibri"/>
          <w:lang w:val="en-US"/>
        </w:rPr>
      </w:pPr>
      <w:r w:rsidRPr="00F82A7E">
        <w:t>The Department of Human Services (DHS) brings together a range of services, funding and policy</w:t>
      </w:r>
      <w:r w:rsidRPr="00D2258F">
        <w:rPr>
          <w:rFonts w:eastAsia="Calibri"/>
          <w:lang w:val="en-US"/>
        </w:rPr>
        <w:t xml:space="preserve"> responsibilities</w:t>
      </w:r>
      <w:r w:rsidR="00151324">
        <w:rPr>
          <w:rFonts w:eastAsia="Calibri"/>
          <w:lang w:val="en-US"/>
        </w:rPr>
        <w:t>,</w:t>
      </w:r>
      <w:r w:rsidRPr="00D2258F">
        <w:rPr>
          <w:rFonts w:eastAsia="Calibri"/>
          <w:lang w:val="en-US"/>
        </w:rPr>
        <w:t xml:space="preserve"> which together support fairness, opportunity and choice for all South Australians. We are uniquely positioned in the public sector to pave the way to reducing the barriers faced by people living with disability and creating a more inclusive South Australia.</w:t>
      </w:r>
    </w:p>
    <w:p w14:paraId="7BC3F5AE" w14:textId="0CB183D6" w:rsidR="00D2258F" w:rsidRPr="00D2258F" w:rsidRDefault="00D2258F" w:rsidP="00F82A7E">
      <w:pPr>
        <w:rPr>
          <w:rFonts w:eastAsia="Calibri"/>
          <w:lang w:val="en-US"/>
        </w:rPr>
      </w:pPr>
      <w:r w:rsidRPr="00D2258F">
        <w:rPr>
          <w:rFonts w:eastAsia="Calibri"/>
          <w:lang w:val="en-US"/>
        </w:rPr>
        <w:t xml:space="preserve">Building on South Australia’s first State Disability Inclusion Plan – </w:t>
      </w:r>
      <w:r w:rsidRPr="00D2258F">
        <w:rPr>
          <w:rFonts w:eastAsia="Calibri"/>
          <w:i/>
          <w:iCs/>
          <w:lang w:val="en-US"/>
        </w:rPr>
        <w:t>Inclusive SA 2019</w:t>
      </w:r>
      <w:r w:rsidR="00031F5F">
        <w:rPr>
          <w:rFonts w:eastAsia="Calibri"/>
          <w:i/>
          <w:iCs/>
          <w:lang w:val="en-US"/>
        </w:rPr>
        <w:t>–2</w:t>
      </w:r>
      <w:r w:rsidRPr="00D2258F">
        <w:rPr>
          <w:rFonts w:eastAsia="Calibri"/>
          <w:i/>
          <w:iCs/>
          <w:lang w:val="en-US"/>
        </w:rPr>
        <w:t>023</w:t>
      </w:r>
      <w:r w:rsidRPr="00D2258F">
        <w:rPr>
          <w:rFonts w:eastAsia="Calibri"/>
          <w:lang w:val="en-US"/>
        </w:rPr>
        <w:t xml:space="preserve">, all State authorities were tasked with developing their own Disability Access and Inclusion Plan (DAIP). DAIPs are to align with Inclusive SA’s key priority areas, and State authorities are required to report against the implementation of their DAIP actions annually. The DHS DAIP outlines the actions that will be progressed by the department over the next four years to reduce the barriers faced by people living with disability. For this reason, I am pleased to deliver the DHS </w:t>
      </w:r>
      <w:r w:rsidRPr="00D2258F">
        <w:rPr>
          <w:rFonts w:eastAsia="Calibri"/>
          <w:b/>
          <w:bCs/>
          <w:lang w:val="en-US"/>
        </w:rPr>
        <w:t>Disability Access and Inclusion Plan 2020</w:t>
      </w:r>
      <w:r w:rsidR="00925C89">
        <w:rPr>
          <w:rFonts w:eastAsia="Calibri"/>
          <w:b/>
          <w:bCs/>
          <w:lang w:val="en-US"/>
        </w:rPr>
        <w:t>–</w:t>
      </w:r>
      <w:r w:rsidRPr="00D2258F">
        <w:rPr>
          <w:rFonts w:eastAsia="Calibri"/>
          <w:b/>
          <w:bCs/>
          <w:lang w:val="en-US"/>
        </w:rPr>
        <w:t>2024</w:t>
      </w:r>
      <w:r w:rsidRPr="00D2258F">
        <w:rPr>
          <w:rFonts w:eastAsia="Calibri"/>
          <w:lang w:val="en-US"/>
        </w:rPr>
        <w:t>.</w:t>
      </w:r>
    </w:p>
    <w:p w14:paraId="27B52114" w14:textId="77777777" w:rsidR="00D2258F" w:rsidRPr="00D2258F" w:rsidRDefault="00D2258F" w:rsidP="00F82A7E">
      <w:pPr>
        <w:rPr>
          <w:rFonts w:eastAsia="Calibri"/>
          <w:lang w:val="en-US"/>
        </w:rPr>
      </w:pPr>
      <w:r w:rsidRPr="00D2258F">
        <w:rPr>
          <w:rFonts w:eastAsia="Calibri"/>
          <w:lang w:val="en-US"/>
        </w:rPr>
        <w:t>DHS has undertaken significant community consultation in the development of our DAIP, providing a greater role for people living with disability in leading and contributing to government decision-making. DHS is committed to continuing to support active participation in consultation and engagement activities that bring about meaningful change.</w:t>
      </w:r>
    </w:p>
    <w:p w14:paraId="6AC2C252" w14:textId="3EFBFF82" w:rsidR="00D2258F" w:rsidRPr="00D2258F" w:rsidRDefault="00D2258F" w:rsidP="00F82A7E">
      <w:pPr>
        <w:rPr>
          <w:rFonts w:eastAsia="Calibri"/>
          <w:lang w:val="en-US"/>
        </w:rPr>
      </w:pPr>
      <w:r w:rsidRPr="00D2258F">
        <w:rPr>
          <w:rFonts w:eastAsia="Calibri"/>
          <w:lang w:val="en-US"/>
        </w:rPr>
        <w:t xml:space="preserve">We recognise there is still a lot of work ahead of us and achieving our vision for an accessible and inclusive South Australia will take time. The priority areas outlined in our DHS DAIP will continue to evolve as the needs of people living with disability evolve. </w:t>
      </w:r>
    </w:p>
    <w:p w14:paraId="4CA5BD9F" w14:textId="03AB5FF7" w:rsidR="00D2258F" w:rsidRDefault="00D2258F" w:rsidP="00F82A7E">
      <w:pPr>
        <w:rPr>
          <w:rFonts w:eastAsia="Calibri"/>
          <w:lang w:val="en-US"/>
        </w:rPr>
      </w:pPr>
      <w:r w:rsidRPr="00D2258F">
        <w:rPr>
          <w:rFonts w:eastAsia="Calibri"/>
          <w:lang w:val="en-US"/>
        </w:rPr>
        <w:t>We can only achieve our vision by acknowledging and respecting the crucial role people living with disability play in shaping our community</w:t>
      </w:r>
      <w:r w:rsidR="00151324">
        <w:rPr>
          <w:rFonts w:eastAsia="Calibri"/>
          <w:lang w:val="en-US"/>
        </w:rPr>
        <w:t>.</w:t>
      </w:r>
      <w:r w:rsidRPr="00D2258F">
        <w:rPr>
          <w:rFonts w:eastAsia="Calibri"/>
          <w:lang w:val="en-US"/>
        </w:rPr>
        <w:t xml:space="preserve"> I look forward to continuing our efforts to promote positive action.</w:t>
      </w:r>
    </w:p>
    <w:p w14:paraId="5639F2E9" w14:textId="3BE32B3A" w:rsidR="0046231E" w:rsidRPr="0046231E" w:rsidRDefault="0046231E" w:rsidP="00F82A7E">
      <w:pPr>
        <w:rPr>
          <w:rFonts w:eastAsia="Calibri"/>
          <w:b/>
          <w:bCs/>
          <w:lang w:val="en-US"/>
        </w:rPr>
      </w:pPr>
      <w:r w:rsidRPr="0046231E">
        <w:rPr>
          <w:rFonts w:eastAsia="Calibri"/>
          <w:b/>
          <w:bCs/>
          <w:lang w:val="en-US"/>
        </w:rPr>
        <w:t>Lois Boswell</w:t>
      </w:r>
    </w:p>
    <w:p w14:paraId="157028F9" w14:textId="77777777" w:rsidR="0046231E" w:rsidRPr="0046231E" w:rsidRDefault="0046231E" w:rsidP="0046231E">
      <w:pPr>
        <w:rPr>
          <w:rFonts w:eastAsia="Calibri"/>
          <w:lang w:val="en-US"/>
        </w:rPr>
      </w:pPr>
      <w:r w:rsidRPr="0046231E">
        <w:rPr>
          <w:rFonts w:eastAsia="Calibri"/>
          <w:lang w:val="en-US"/>
        </w:rPr>
        <w:t>Chief Executive</w:t>
      </w:r>
    </w:p>
    <w:p w14:paraId="5B80AEC8" w14:textId="0AE0966D" w:rsidR="0046231E" w:rsidRPr="00D2258F" w:rsidRDefault="0046231E" w:rsidP="0046231E">
      <w:pPr>
        <w:rPr>
          <w:rFonts w:eastAsia="Calibri"/>
          <w:lang w:val="en-US"/>
        </w:rPr>
      </w:pPr>
      <w:r w:rsidRPr="0046231E">
        <w:rPr>
          <w:rFonts w:eastAsia="Calibri"/>
          <w:lang w:val="en-US"/>
        </w:rPr>
        <w:t>Department of Human Services</w:t>
      </w:r>
    </w:p>
    <w:p w14:paraId="05E57E2F" w14:textId="5DA8EFDF" w:rsidR="00C343D1" w:rsidRDefault="00C343D1" w:rsidP="00DE3A93">
      <w:pPr>
        <w:pStyle w:val="Heading2"/>
      </w:pPr>
      <w:r>
        <w:br w:type="page"/>
      </w:r>
    </w:p>
    <w:bookmarkStart w:id="5" w:name="_Toc52542242" w:displacedByCustomXml="next"/>
    <w:bookmarkStart w:id="6" w:name="_Toc52542447" w:displacedByCustomXml="next"/>
    <w:sdt>
      <w:sdtPr>
        <w:id w:val="973561292"/>
        <w:docPartObj>
          <w:docPartGallery w:val="Table of Contents"/>
          <w:docPartUnique/>
        </w:docPartObj>
      </w:sdtPr>
      <w:sdtEndPr>
        <w:rPr>
          <w:b/>
          <w:bCs/>
          <w:noProof/>
        </w:rPr>
      </w:sdtEndPr>
      <w:sdtContent>
        <w:p w14:paraId="1296420C" w14:textId="16C2DCFA" w:rsidR="00D8212D" w:rsidRDefault="00D8212D" w:rsidP="004C79C0">
          <w:pPr>
            <w:pStyle w:val="TOC1"/>
            <w:tabs>
              <w:tab w:val="right" w:pos="7938"/>
            </w:tabs>
            <w:spacing w:after="0"/>
          </w:pPr>
          <w:r w:rsidRPr="00D2626A">
            <w:rPr>
              <w:rFonts w:ascii="Arial Rounded MT Bold" w:eastAsiaTheme="majorEastAsia" w:hAnsi="Arial Rounded MT Bold" w:cstheme="majorBidi"/>
              <w:color w:val="1C6194" w:themeColor="accent6" w:themeShade="BF"/>
              <w:sz w:val="44"/>
              <w:szCs w:val="44"/>
            </w:rPr>
            <w:t>Contents</w:t>
          </w:r>
        </w:p>
        <w:p w14:paraId="189CDEDA" w14:textId="41DAE2E0" w:rsidR="008A0919" w:rsidRDefault="00D8212D" w:rsidP="004C79C0">
          <w:pPr>
            <w:pStyle w:val="TOC1"/>
            <w:tabs>
              <w:tab w:val="right" w:pos="7938"/>
              <w:tab w:val="right" w:pos="10194"/>
            </w:tabs>
            <w:rPr>
              <w:rFonts w:asciiTheme="minorHAnsi" w:hAnsiTheme="minorHAnsi"/>
              <w:noProof/>
              <w:sz w:val="22"/>
              <w:szCs w:val="22"/>
              <w:lang w:eastAsia="en-AU"/>
            </w:rPr>
          </w:pPr>
          <w:r>
            <w:fldChar w:fldCharType="begin"/>
          </w:r>
          <w:r>
            <w:instrText xml:space="preserve"> TOC \o "1-3" \h \z \u </w:instrText>
          </w:r>
          <w:r>
            <w:fldChar w:fldCharType="separate"/>
          </w:r>
        </w:p>
        <w:p w14:paraId="551E1CA6" w14:textId="6C194F13"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57" w:history="1">
            <w:r w:rsidR="008A0919" w:rsidRPr="006D2521">
              <w:rPr>
                <w:rStyle w:val="Hyperlink"/>
                <w:noProof/>
              </w:rPr>
              <w:t>Message from the Chief Executive Department of Human Services</w:t>
            </w:r>
            <w:r w:rsidR="008A0919">
              <w:rPr>
                <w:noProof/>
                <w:webHidden/>
              </w:rPr>
              <w:tab/>
            </w:r>
            <w:r w:rsidR="008A0919">
              <w:rPr>
                <w:noProof/>
                <w:webHidden/>
              </w:rPr>
              <w:fldChar w:fldCharType="begin"/>
            </w:r>
            <w:r w:rsidR="008A0919">
              <w:rPr>
                <w:noProof/>
                <w:webHidden/>
              </w:rPr>
              <w:instrText xml:space="preserve"> PAGEREF _Toc53041857 \h </w:instrText>
            </w:r>
            <w:r w:rsidR="008A0919">
              <w:rPr>
                <w:noProof/>
                <w:webHidden/>
              </w:rPr>
            </w:r>
            <w:r w:rsidR="008A0919">
              <w:rPr>
                <w:noProof/>
                <w:webHidden/>
              </w:rPr>
              <w:fldChar w:fldCharType="separate"/>
            </w:r>
            <w:r>
              <w:rPr>
                <w:noProof/>
                <w:webHidden/>
              </w:rPr>
              <w:t>1</w:t>
            </w:r>
            <w:r w:rsidR="008A0919">
              <w:rPr>
                <w:noProof/>
                <w:webHidden/>
              </w:rPr>
              <w:fldChar w:fldCharType="end"/>
            </w:r>
          </w:hyperlink>
        </w:p>
        <w:p w14:paraId="7F3DE2C5" w14:textId="331AAC2E"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58" w:history="1">
            <w:r w:rsidR="008A0919" w:rsidRPr="006D2521">
              <w:rPr>
                <w:rStyle w:val="Hyperlink"/>
                <w:noProof/>
              </w:rPr>
              <w:t>Acknowledgment of Country</w:t>
            </w:r>
            <w:r w:rsidR="008A0919">
              <w:rPr>
                <w:noProof/>
                <w:webHidden/>
              </w:rPr>
              <w:tab/>
            </w:r>
            <w:r w:rsidR="008A0919">
              <w:rPr>
                <w:noProof/>
                <w:webHidden/>
              </w:rPr>
              <w:fldChar w:fldCharType="begin"/>
            </w:r>
            <w:r w:rsidR="008A0919">
              <w:rPr>
                <w:noProof/>
                <w:webHidden/>
              </w:rPr>
              <w:instrText xml:space="preserve"> PAGEREF _Toc53041858 \h </w:instrText>
            </w:r>
            <w:r w:rsidR="008A0919">
              <w:rPr>
                <w:noProof/>
                <w:webHidden/>
              </w:rPr>
            </w:r>
            <w:r w:rsidR="008A0919">
              <w:rPr>
                <w:noProof/>
                <w:webHidden/>
              </w:rPr>
              <w:fldChar w:fldCharType="separate"/>
            </w:r>
            <w:r>
              <w:rPr>
                <w:noProof/>
                <w:webHidden/>
              </w:rPr>
              <w:t>3</w:t>
            </w:r>
            <w:r w:rsidR="008A0919">
              <w:rPr>
                <w:noProof/>
                <w:webHidden/>
              </w:rPr>
              <w:fldChar w:fldCharType="end"/>
            </w:r>
          </w:hyperlink>
        </w:p>
        <w:p w14:paraId="043190F0" w14:textId="7D8A6DC9"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59" w:history="1">
            <w:r w:rsidR="008A0919" w:rsidRPr="006D2521">
              <w:rPr>
                <w:rStyle w:val="Hyperlink"/>
                <w:noProof/>
              </w:rPr>
              <w:t>About the Department of Human Services</w:t>
            </w:r>
            <w:r w:rsidR="008A0919">
              <w:rPr>
                <w:noProof/>
                <w:webHidden/>
              </w:rPr>
              <w:tab/>
            </w:r>
            <w:r w:rsidR="008A0919">
              <w:rPr>
                <w:noProof/>
                <w:webHidden/>
              </w:rPr>
              <w:fldChar w:fldCharType="begin"/>
            </w:r>
            <w:r w:rsidR="008A0919">
              <w:rPr>
                <w:noProof/>
                <w:webHidden/>
              </w:rPr>
              <w:instrText xml:space="preserve"> PAGEREF _Toc53041859 \h </w:instrText>
            </w:r>
            <w:r w:rsidR="008A0919">
              <w:rPr>
                <w:noProof/>
                <w:webHidden/>
              </w:rPr>
            </w:r>
            <w:r w:rsidR="008A0919">
              <w:rPr>
                <w:noProof/>
                <w:webHidden/>
              </w:rPr>
              <w:fldChar w:fldCharType="separate"/>
            </w:r>
            <w:r>
              <w:rPr>
                <w:noProof/>
                <w:webHidden/>
              </w:rPr>
              <w:t>3</w:t>
            </w:r>
            <w:r w:rsidR="008A0919">
              <w:rPr>
                <w:noProof/>
                <w:webHidden/>
              </w:rPr>
              <w:fldChar w:fldCharType="end"/>
            </w:r>
          </w:hyperlink>
        </w:p>
        <w:p w14:paraId="7C91F3EB" w14:textId="35DE39C0"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60" w:history="1">
            <w:r w:rsidR="008A0919" w:rsidRPr="006D2521">
              <w:rPr>
                <w:rStyle w:val="Hyperlink"/>
                <w:noProof/>
              </w:rPr>
              <w:t>Our vision</w:t>
            </w:r>
            <w:r w:rsidR="008A0919">
              <w:rPr>
                <w:noProof/>
                <w:webHidden/>
              </w:rPr>
              <w:tab/>
            </w:r>
            <w:r w:rsidR="008A0919">
              <w:rPr>
                <w:noProof/>
                <w:webHidden/>
              </w:rPr>
              <w:fldChar w:fldCharType="begin"/>
            </w:r>
            <w:r w:rsidR="008A0919">
              <w:rPr>
                <w:noProof/>
                <w:webHidden/>
              </w:rPr>
              <w:instrText xml:space="preserve"> PAGEREF _Toc53041860 \h </w:instrText>
            </w:r>
            <w:r w:rsidR="008A0919">
              <w:rPr>
                <w:noProof/>
                <w:webHidden/>
              </w:rPr>
            </w:r>
            <w:r w:rsidR="008A0919">
              <w:rPr>
                <w:noProof/>
                <w:webHidden/>
              </w:rPr>
              <w:fldChar w:fldCharType="separate"/>
            </w:r>
            <w:r>
              <w:rPr>
                <w:noProof/>
                <w:webHidden/>
              </w:rPr>
              <w:t>3</w:t>
            </w:r>
            <w:r w:rsidR="008A0919">
              <w:rPr>
                <w:noProof/>
                <w:webHidden/>
              </w:rPr>
              <w:fldChar w:fldCharType="end"/>
            </w:r>
          </w:hyperlink>
        </w:p>
        <w:p w14:paraId="06476913" w14:textId="52DCE6CE"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61" w:history="1">
            <w:r w:rsidR="008A0919" w:rsidRPr="006D2521">
              <w:rPr>
                <w:rStyle w:val="Hyperlink"/>
                <w:noProof/>
              </w:rPr>
              <w:t>Our staff</w:t>
            </w:r>
            <w:r w:rsidR="008A0919">
              <w:rPr>
                <w:noProof/>
                <w:webHidden/>
              </w:rPr>
              <w:tab/>
            </w:r>
            <w:r w:rsidR="008A0919">
              <w:rPr>
                <w:noProof/>
                <w:webHidden/>
              </w:rPr>
              <w:fldChar w:fldCharType="begin"/>
            </w:r>
            <w:r w:rsidR="008A0919">
              <w:rPr>
                <w:noProof/>
                <w:webHidden/>
              </w:rPr>
              <w:instrText xml:space="preserve"> PAGEREF _Toc53041861 \h </w:instrText>
            </w:r>
            <w:r w:rsidR="008A0919">
              <w:rPr>
                <w:noProof/>
                <w:webHidden/>
              </w:rPr>
            </w:r>
            <w:r w:rsidR="008A0919">
              <w:rPr>
                <w:noProof/>
                <w:webHidden/>
              </w:rPr>
              <w:fldChar w:fldCharType="separate"/>
            </w:r>
            <w:r>
              <w:rPr>
                <w:noProof/>
                <w:webHidden/>
              </w:rPr>
              <w:t>3</w:t>
            </w:r>
            <w:r w:rsidR="008A0919">
              <w:rPr>
                <w:noProof/>
                <w:webHidden/>
              </w:rPr>
              <w:fldChar w:fldCharType="end"/>
            </w:r>
          </w:hyperlink>
        </w:p>
        <w:p w14:paraId="7C96A430" w14:textId="01C2B49E"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62" w:history="1">
            <w:r w:rsidR="008A0919" w:rsidRPr="006D2521">
              <w:rPr>
                <w:rStyle w:val="Hyperlink"/>
                <w:noProof/>
              </w:rPr>
              <w:t>Access and inclusion planning: the strategic context</w:t>
            </w:r>
            <w:r w:rsidR="008A0919">
              <w:rPr>
                <w:noProof/>
                <w:webHidden/>
              </w:rPr>
              <w:tab/>
            </w:r>
            <w:r w:rsidR="008A0919">
              <w:rPr>
                <w:noProof/>
                <w:webHidden/>
              </w:rPr>
              <w:fldChar w:fldCharType="begin"/>
            </w:r>
            <w:r w:rsidR="008A0919">
              <w:rPr>
                <w:noProof/>
                <w:webHidden/>
              </w:rPr>
              <w:instrText xml:space="preserve"> PAGEREF _Toc53041862 \h </w:instrText>
            </w:r>
            <w:r w:rsidR="008A0919">
              <w:rPr>
                <w:noProof/>
                <w:webHidden/>
              </w:rPr>
            </w:r>
            <w:r w:rsidR="008A0919">
              <w:rPr>
                <w:noProof/>
                <w:webHidden/>
              </w:rPr>
              <w:fldChar w:fldCharType="separate"/>
            </w:r>
            <w:r>
              <w:rPr>
                <w:noProof/>
                <w:webHidden/>
              </w:rPr>
              <w:t>4</w:t>
            </w:r>
            <w:r w:rsidR="008A0919">
              <w:rPr>
                <w:noProof/>
                <w:webHidden/>
              </w:rPr>
              <w:fldChar w:fldCharType="end"/>
            </w:r>
          </w:hyperlink>
        </w:p>
        <w:p w14:paraId="3A25BEAC" w14:textId="0D80DEAF"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63" w:history="1">
            <w:r w:rsidR="008A0919" w:rsidRPr="006D2521">
              <w:rPr>
                <w:rStyle w:val="Hyperlink"/>
                <w:noProof/>
              </w:rPr>
              <w:t>Our commitment to access and inclusion</w:t>
            </w:r>
            <w:r w:rsidR="008A0919">
              <w:rPr>
                <w:noProof/>
                <w:webHidden/>
              </w:rPr>
              <w:tab/>
            </w:r>
            <w:r w:rsidR="008A0919">
              <w:rPr>
                <w:noProof/>
                <w:webHidden/>
              </w:rPr>
              <w:fldChar w:fldCharType="begin"/>
            </w:r>
            <w:r w:rsidR="008A0919">
              <w:rPr>
                <w:noProof/>
                <w:webHidden/>
              </w:rPr>
              <w:instrText xml:space="preserve"> PAGEREF _Toc53041863 \h </w:instrText>
            </w:r>
            <w:r w:rsidR="008A0919">
              <w:rPr>
                <w:noProof/>
                <w:webHidden/>
              </w:rPr>
            </w:r>
            <w:r w:rsidR="008A0919">
              <w:rPr>
                <w:noProof/>
                <w:webHidden/>
              </w:rPr>
              <w:fldChar w:fldCharType="separate"/>
            </w:r>
            <w:r>
              <w:rPr>
                <w:noProof/>
                <w:webHidden/>
              </w:rPr>
              <w:t>5</w:t>
            </w:r>
            <w:r w:rsidR="008A0919">
              <w:rPr>
                <w:noProof/>
                <w:webHidden/>
              </w:rPr>
              <w:fldChar w:fldCharType="end"/>
            </w:r>
          </w:hyperlink>
        </w:p>
        <w:p w14:paraId="5510A26D" w14:textId="707F0BE3"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64" w:history="1">
            <w:r w:rsidR="008A0919" w:rsidRPr="006D2521">
              <w:rPr>
                <w:rStyle w:val="Hyperlink"/>
                <w:noProof/>
              </w:rPr>
              <w:t>Disability defined</w:t>
            </w:r>
            <w:r w:rsidR="008A0919">
              <w:rPr>
                <w:noProof/>
                <w:webHidden/>
              </w:rPr>
              <w:tab/>
            </w:r>
            <w:r w:rsidR="008A0919">
              <w:rPr>
                <w:noProof/>
                <w:webHidden/>
              </w:rPr>
              <w:fldChar w:fldCharType="begin"/>
            </w:r>
            <w:r w:rsidR="008A0919">
              <w:rPr>
                <w:noProof/>
                <w:webHidden/>
              </w:rPr>
              <w:instrText xml:space="preserve"> PAGEREF _Toc53041864 \h </w:instrText>
            </w:r>
            <w:r w:rsidR="008A0919">
              <w:rPr>
                <w:noProof/>
                <w:webHidden/>
              </w:rPr>
            </w:r>
            <w:r w:rsidR="008A0919">
              <w:rPr>
                <w:noProof/>
                <w:webHidden/>
              </w:rPr>
              <w:fldChar w:fldCharType="separate"/>
            </w:r>
            <w:r>
              <w:rPr>
                <w:noProof/>
                <w:webHidden/>
              </w:rPr>
              <w:t>5</w:t>
            </w:r>
            <w:r w:rsidR="008A0919">
              <w:rPr>
                <w:noProof/>
                <w:webHidden/>
              </w:rPr>
              <w:fldChar w:fldCharType="end"/>
            </w:r>
          </w:hyperlink>
        </w:p>
        <w:p w14:paraId="290E9E25" w14:textId="60F14BEE" w:rsidR="008A0919" w:rsidRPr="008A0919" w:rsidRDefault="00DE3A93" w:rsidP="004C79C0">
          <w:pPr>
            <w:pStyle w:val="TOC2"/>
            <w:tabs>
              <w:tab w:val="clear" w:pos="8505"/>
              <w:tab w:val="right" w:pos="7938"/>
            </w:tabs>
            <w:rPr>
              <w:rFonts w:asciiTheme="minorHAnsi" w:hAnsiTheme="minorHAnsi"/>
              <w:noProof/>
              <w:sz w:val="22"/>
              <w:szCs w:val="22"/>
              <w:lang w:eastAsia="en-AU"/>
            </w:rPr>
          </w:pPr>
          <w:hyperlink w:anchor="_Toc53041865" w:history="1">
            <w:r w:rsidR="008A0919" w:rsidRPr="006D2521">
              <w:rPr>
                <w:rStyle w:val="Hyperlink"/>
                <w:noProof/>
              </w:rPr>
              <w:t>Consultation</w:t>
            </w:r>
            <w:r w:rsidR="008A0919">
              <w:rPr>
                <w:noProof/>
                <w:webHidden/>
              </w:rPr>
              <w:tab/>
            </w:r>
            <w:r w:rsidR="008A0919">
              <w:rPr>
                <w:noProof/>
                <w:webHidden/>
              </w:rPr>
              <w:fldChar w:fldCharType="begin"/>
            </w:r>
            <w:r w:rsidR="008A0919">
              <w:rPr>
                <w:noProof/>
                <w:webHidden/>
              </w:rPr>
              <w:instrText xml:space="preserve"> PAGEREF _Toc53041865 \h </w:instrText>
            </w:r>
            <w:r w:rsidR="008A0919">
              <w:rPr>
                <w:noProof/>
                <w:webHidden/>
              </w:rPr>
            </w:r>
            <w:r w:rsidR="008A0919">
              <w:rPr>
                <w:noProof/>
                <w:webHidden/>
              </w:rPr>
              <w:fldChar w:fldCharType="separate"/>
            </w:r>
            <w:r>
              <w:rPr>
                <w:noProof/>
                <w:webHidden/>
              </w:rPr>
              <w:t>6</w:t>
            </w:r>
            <w:r w:rsidR="008A0919">
              <w:rPr>
                <w:noProof/>
                <w:webHidden/>
              </w:rPr>
              <w:fldChar w:fldCharType="end"/>
            </w:r>
          </w:hyperlink>
        </w:p>
        <w:p w14:paraId="30D5B69A" w14:textId="6B4EBAFD"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69" w:history="1">
            <w:r w:rsidR="008A0919" w:rsidRPr="006D2521">
              <w:rPr>
                <w:rStyle w:val="Hyperlink"/>
                <w:noProof/>
              </w:rPr>
              <w:t>DHS actions</w:t>
            </w:r>
            <w:r w:rsidR="008A0919">
              <w:rPr>
                <w:noProof/>
                <w:webHidden/>
              </w:rPr>
              <w:tab/>
            </w:r>
            <w:r w:rsidR="008A0919">
              <w:rPr>
                <w:noProof/>
                <w:webHidden/>
              </w:rPr>
              <w:fldChar w:fldCharType="begin"/>
            </w:r>
            <w:r w:rsidR="008A0919">
              <w:rPr>
                <w:noProof/>
                <w:webHidden/>
              </w:rPr>
              <w:instrText xml:space="preserve"> PAGEREF _Toc53041869 \h </w:instrText>
            </w:r>
            <w:r w:rsidR="008A0919">
              <w:rPr>
                <w:noProof/>
                <w:webHidden/>
              </w:rPr>
            </w:r>
            <w:r w:rsidR="008A0919">
              <w:rPr>
                <w:noProof/>
                <w:webHidden/>
              </w:rPr>
              <w:fldChar w:fldCharType="separate"/>
            </w:r>
            <w:r>
              <w:rPr>
                <w:noProof/>
                <w:webHidden/>
              </w:rPr>
              <w:t>7</w:t>
            </w:r>
            <w:r w:rsidR="008A0919">
              <w:rPr>
                <w:noProof/>
                <w:webHidden/>
              </w:rPr>
              <w:fldChar w:fldCharType="end"/>
            </w:r>
          </w:hyperlink>
        </w:p>
        <w:p w14:paraId="11CAFE86" w14:textId="0676379C" w:rsidR="008A0919" w:rsidRDefault="00DE3A93" w:rsidP="004C79C0">
          <w:pPr>
            <w:pStyle w:val="TOC3"/>
            <w:tabs>
              <w:tab w:val="clear" w:pos="8505"/>
              <w:tab w:val="right" w:pos="7938"/>
            </w:tabs>
            <w:rPr>
              <w:rFonts w:asciiTheme="minorHAnsi" w:hAnsiTheme="minorHAnsi"/>
              <w:sz w:val="22"/>
              <w:szCs w:val="22"/>
              <w:lang w:eastAsia="en-AU"/>
            </w:rPr>
          </w:pPr>
          <w:hyperlink w:anchor="_Toc53041870" w:history="1">
            <w:r w:rsidR="008A0919" w:rsidRPr="006D2521">
              <w:rPr>
                <w:rStyle w:val="Hyperlink"/>
              </w:rPr>
              <w:t>Theme One: Inclusive communities for all</w:t>
            </w:r>
            <w:r w:rsidR="008A0919">
              <w:rPr>
                <w:webHidden/>
              </w:rPr>
              <w:tab/>
            </w:r>
            <w:r w:rsidR="008A0919">
              <w:rPr>
                <w:webHidden/>
              </w:rPr>
              <w:fldChar w:fldCharType="begin"/>
            </w:r>
            <w:r w:rsidR="008A0919">
              <w:rPr>
                <w:webHidden/>
              </w:rPr>
              <w:instrText xml:space="preserve"> PAGEREF _Toc53041870 \h </w:instrText>
            </w:r>
            <w:r w:rsidR="008A0919">
              <w:rPr>
                <w:webHidden/>
              </w:rPr>
            </w:r>
            <w:r w:rsidR="008A0919">
              <w:rPr>
                <w:webHidden/>
              </w:rPr>
              <w:fldChar w:fldCharType="separate"/>
            </w:r>
            <w:r>
              <w:rPr>
                <w:webHidden/>
              </w:rPr>
              <w:t>7</w:t>
            </w:r>
            <w:r w:rsidR="008A0919">
              <w:rPr>
                <w:webHidden/>
              </w:rPr>
              <w:fldChar w:fldCharType="end"/>
            </w:r>
          </w:hyperlink>
        </w:p>
        <w:p w14:paraId="33932695" w14:textId="6E9B4EDC" w:rsidR="008A0919" w:rsidRDefault="00DE3A93" w:rsidP="004C79C0">
          <w:pPr>
            <w:pStyle w:val="TOC3"/>
            <w:tabs>
              <w:tab w:val="clear" w:pos="8505"/>
              <w:tab w:val="right" w:pos="7938"/>
            </w:tabs>
            <w:rPr>
              <w:rFonts w:asciiTheme="minorHAnsi" w:hAnsiTheme="minorHAnsi"/>
              <w:sz w:val="22"/>
              <w:szCs w:val="22"/>
              <w:lang w:eastAsia="en-AU"/>
            </w:rPr>
          </w:pPr>
          <w:hyperlink w:anchor="_Toc53041871" w:history="1">
            <w:r w:rsidR="008A0919" w:rsidRPr="006D2521">
              <w:rPr>
                <w:rStyle w:val="Hyperlink"/>
              </w:rPr>
              <w:t>Theme Two: Leadership and collaboration</w:t>
            </w:r>
            <w:r w:rsidR="008A0919">
              <w:rPr>
                <w:webHidden/>
              </w:rPr>
              <w:tab/>
            </w:r>
            <w:r w:rsidR="008A0919">
              <w:rPr>
                <w:webHidden/>
              </w:rPr>
              <w:fldChar w:fldCharType="begin"/>
            </w:r>
            <w:r w:rsidR="008A0919">
              <w:rPr>
                <w:webHidden/>
              </w:rPr>
              <w:instrText xml:space="preserve"> PAGEREF _Toc53041871 \h </w:instrText>
            </w:r>
            <w:r w:rsidR="008A0919">
              <w:rPr>
                <w:webHidden/>
              </w:rPr>
            </w:r>
            <w:r w:rsidR="008A0919">
              <w:rPr>
                <w:webHidden/>
              </w:rPr>
              <w:fldChar w:fldCharType="separate"/>
            </w:r>
            <w:r>
              <w:rPr>
                <w:webHidden/>
              </w:rPr>
              <w:t>11</w:t>
            </w:r>
            <w:r w:rsidR="008A0919">
              <w:rPr>
                <w:webHidden/>
              </w:rPr>
              <w:fldChar w:fldCharType="end"/>
            </w:r>
          </w:hyperlink>
        </w:p>
        <w:p w14:paraId="2F3BFC0B" w14:textId="71B46579" w:rsidR="008A0919" w:rsidRDefault="00DE3A93" w:rsidP="004C79C0">
          <w:pPr>
            <w:pStyle w:val="TOC3"/>
            <w:tabs>
              <w:tab w:val="clear" w:pos="8505"/>
              <w:tab w:val="right" w:pos="7938"/>
            </w:tabs>
            <w:rPr>
              <w:rFonts w:asciiTheme="minorHAnsi" w:hAnsiTheme="minorHAnsi"/>
              <w:sz w:val="22"/>
              <w:szCs w:val="22"/>
              <w:lang w:eastAsia="en-AU"/>
            </w:rPr>
          </w:pPr>
          <w:hyperlink w:anchor="_Toc53041872" w:history="1">
            <w:r w:rsidR="008A0919" w:rsidRPr="006D2521">
              <w:rPr>
                <w:rStyle w:val="Hyperlink"/>
              </w:rPr>
              <w:t>Theme Three: Accessible communities</w:t>
            </w:r>
            <w:r w:rsidR="008A0919">
              <w:rPr>
                <w:webHidden/>
              </w:rPr>
              <w:tab/>
            </w:r>
            <w:r w:rsidR="008A0919">
              <w:rPr>
                <w:webHidden/>
              </w:rPr>
              <w:fldChar w:fldCharType="begin"/>
            </w:r>
            <w:r w:rsidR="008A0919">
              <w:rPr>
                <w:webHidden/>
              </w:rPr>
              <w:instrText xml:space="preserve"> PAGEREF _Toc53041872 \h </w:instrText>
            </w:r>
            <w:r w:rsidR="008A0919">
              <w:rPr>
                <w:webHidden/>
              </w:rPr>
            </w:r>
            <w:r w:rsidR="008A0919">
              <w:rPr>
                <w:webHidden/>
              </w:rPr>
              <w:fldChar w:fldCharType="separate"/>
            </w:r>
            <w:r>
              <w:rPr>
                <w:webHidden/>
              </w:rPr>
              <w:t>16</w:t>
            </w:r>
            <w:r w:rsidR="008A0919">
              <w:rPr>
                <w:webHidden/>
              </w:rPr>
              <w:fldChar w:fldCharType="end"/>
            </w:r>
          </w:hyperlink>
        </w:p>
        <w:p w14:paraId="2B410AA3" w14:textId="280034AD" w:rsidR="008A0919" w:rsidRDefault="00DE3A93" w:rsidP="004C79C0">
          <w:pPr>
            <w:pStyle w:val="TOC3"/>
            <w:tabs>
              <w:tab w:val="clear" w:pos="8505"/>
              <w:tab w:val="right" w:pos="7938"/>
            </w:tabs>
            <w:rPr>
              <w:rFonts w:asciiTheme="minorHAnsi" w:hAnsiTheme="minorHAnsi"/>
              <w:sz w:val="22"/>
              <w:szCs w:val="22"/>
              <w:lang w:eastAsia="en-AU"/>
            </w:rPr>
          </w:pPr>
          <w:hyperlink w:anchor="_Toc53041873" w:history="1">
            <w:r w:rsidR="008A0919" w:rsidRPr="006D2521">
              <w:rPr>
                <w:rStyle w:val="Hyperlink"/>
              </w:rPr>
              <w:t>Theme Four: Learning and employment</w:t>
            </w:r>
            <w:r w:rsidR="008A0919">
              <w:rPr>
                <w:webHidden/>
              </w:rPr>
              <w:tab/>
            </w:r>
            <w:r w:rsidR="008A0919">
              <w:rPr>
                <w:webHidden/>
              </w:rPr>
              <w:fldChar w:fldCharType="begin"/>
            </w:r>
            <w:r w:rsidR="008A0919">
              <w:rPr>
                <w:webHidden/>
              </w:rPr>
              <w:instrText xml:space="preserve"> PAGEREF _Toc53041873 \h </w:instrText>
            </w:r>
            <w:r w:rsidR="008A0919">
              <w:rPr>
                <w:webHidden/>
              </w:rPr>
            </w:r>
            <w:r w:rsidR="008A0919">
              <w:rPr>
                <w:webHidden/>
              </w:rPr>
              <w:fldChar w:fldCharType="separate"/>
            </w:r>
            <w:r>
              <w:rPr>
                <w:webHidden/>
              </w:rPr>
              <w:t>27</w:t>
            </w:r>
            <w:r w:rsidR="008A0919">
              <w:rPr>
                <w:webHidden/>
              </w:rPr>
              <w:fldChar w:fldCharType="end"/>
            </w:r>
          </w:hyperlink>
        </w:p>
        <w:p w14:paraId="7941E47B" w14:textId="543CA8B4"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74" w:history="1">
            <w:r w:rsidR="008A0919" w:rsidRPr="006D2521">
              <w:rPr>
                <w:rStyle w:val="Hyperlink"/>
                <w:noProof/>
              </w:rPr>
              <w:t>Acknowledgments</w:t>
            </w:r>
            <w:r w:rsidR="008A0919">
              <w:rPr>
                <w:noProof/>
                <w:webHidden/>
              </w:rPr>
              <w:tab/>
            </w:r>
            <w:r w:rsidR="008A0919">
              <w:rPr>
                <w:noProof/>
                <w:webHidden/>
              </w:rPr>
              <w:fldChar w:fldCharType="begin"/>
            </w:r>
            <w:r w:rsidR="008A0919">
              <w:rPr>
                <w:noProof/>
                <w:webHidden/>
              </w:rPr>
              <w:instrText xml:space="preserve"> PAGEREF _Toc53041874 \h </w:instrText>
            </w:r>
            <w:r w:rsidR="008A0919">
              <w:rPr>
                <w:noProof/>
                <w:webHidden/>
              </w:rPr>
            </w:r>
            <w:r w:rsidR="008A0919">
              <w:rPr>
                <w:noProof/>
                <w:webHidden/>
              </w:rPr>
              <w:fldChar w:fldCharType="separate"/>
            </w:r>
            <w:r>
              <w:rPr>
                <w:noProof/>
                <w:webHidden/>
              </w:rPr>
              <w:t>30</w:t>
            </w:r>
            <w:r w:rsidR="008A0919">
              <w:rPr>
                <w:noProof/>
                <w:webHidden/>
              </w:rPr>
              <w:fldChar w:fldCharType="end"/>
            </w:r>
          </w:hyperlink>
        </w:p>
        <w:p w14:paraId="6FE737A5" w14:textId="19D70672"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75" w:history="1">
            <w:r w:rsidR="008A0919" w:rsidRPr="006D2521">
              <w:rPr>
                <w:rStyle w:val="Hyperlink"/>
                <w:noProof/>
              </w:rPr>
              <w:t>Communicating the DAIP</w:t>
            </w:r>
            <w:r w:rsidR="008A0919">
              <w:rPr>
                <w:noProof/>
                <w:webHidden/>
              </w:rPr>
              <w:tab/>
            </w:r>
            <w:r w:rsidR="008A0919">
              <w:rPr>
                <w:noProof/>
                <w:webHidden/>
              </w:rPr>
              <w:fldChar w:fldCharType="begin"/>
            </w:r>
            <w:r w:rsidR="008A0919">
              <w:rPr>
                <w:noProof/>
                <w:webHidden/>
              </w:rPr>
              <w:instrText xml:space="preserve"> PAGEREF _Toc53041875 \h </w:instrText>
            </w:r>
            <w:r w:rsidR="008A0919">
              <w:rPr>
                <w:noProof/>
                <w:webHidden/>
              </w:rPr>
            </w:r>
            <w:r w:rsidR="008A0919">
              <w:rPr>
                <w:noProof/>
                <w:webHidden/>
              </w:rPr>
              <w:fldChar w:fldCharType="separate"/>
            </w:r>
            <w:r>
              <w:rPr>
                <w:noProof/>
                <w:webHidden/>
              </w:rPr>
              <w:t>30</w:t>
            </w:r>
            <w:r w:rsidR="008A0919">
              <w:rPr>
                <w:noProof/>
                <w:webHidden/>
              </w:rPr>
              <w:fldChar w:fldCharType="end"/>
            </w:r>
          </w:hyperlink>
        </w:p>
        <w:p w14:paraId="144EA39D" w14:textId="78EEFB04" w:rsidR="008A0919" w:rsidRDefault="00DE3A93" w:rsidP="004C79C0">
          <w:pPr>
            <w:pStyle w:val="TOC2"/>
            <w:tabs>
              <w:tab w:val="clear" w:pos="8505"/>
              <w:tab w:val="right" w:pos="7938"/>
            </w:tabs>
            <w:rPr>
              <w:rFonts w:asciiTheme="minorHAnsi" w:hAnsiTheme="minorHAnsi"/>
              <w:noProof/>
              <w:sz w:val="22"/>
              <w:szCs w:val="22"/>
              <w:lang w:eastAsia="en-AU"/>
            </w:rPr>
          </w:pPr>
          <w:hyperlink w:anchor="_Toc53041876" w:history="1">
            <w:r w:rsidR="008A0919" w:rsidRPr="006D2521">
              <w:rPr>
                <w:rStyle w:val="Hyperlink"/>
                <w:noProof/>
              </w:rPr>
              <w:t>Monitoring and Review</w:t>
            </w:r>
            <w:r w:rsidR="008A0919">
              <w:rPr>
                <w:noProof/>
                <w:webHidden/>
              </w:rPr>
              <w:tab/>
            </w:r>
            <w:r w:rsidR="008A0919">
              <w:rPr>
                <w:noProof/>
                <w:webHidden/>
              </w:rPr>
              <w:fldChar w:fldCharType="begin"/>
            </w:r>
            <w:r w:rsidR="008A0919">
              <w:rPr>
                <w:noProof/>
                <w:webHidden/>
              </w:rPr>
              <w:instrText xml:space="preserve"> PAGEREF _Toc53041876 \h </w:instrText>
            </w:r>
            <w:r w:rsidR="008A0919">
              <w:rPr>
                <w:noProof/>
                <w:webHidden/>
              </w:rPr>
            </w:r>
            <w:r w:rsidR="008A0919">
              <w:rPr>
                <w:noProof/>
                <w:webHidden/>
              </w:rPr>
              <w:fldChar w:fldCharType="separate"/>
            </w:r>
            <w:r>
              <w:rPr>
                <w:noProof/>
                <w:webHidden/>
              </w:rPr>
              <w:t>30</w:t>
            </w:r>
            <w:r w:rsidR="008A0919">
              <w:rPr>
                <w:noProof/>
                <w:webHidden/>
              </w:rPr>
              <w:fldChar w:fldCharType="end"/>
            </w:r>
          </w:hyperlink>
        </w:p>
        <w:p w14:paraId="3257F7AD" w14:textId="15A1815D" w:rsidR="008A0919" w:rsidRPr="008A0919" w:rsidRDefault="00DE3A93" w:rsidP="004C79C0">
          <w:pPr>
            <w:pStyle w:val="TOC2"/>
            <w:tabs>
              <w:tab w:val="clear" w:pos="8505"/>
              <w:tab w:val="right" w:pos="7938"/>
            </w:tabs>
            <w:rPr>
              <w:rFonts w:asciiTheme="minorHAnsi" w:hAnsiTheme="minorHAnsi"/>
              <w:noProof/>
              <w:sz w:val="22"/>
              <w:szCs w:val="22"/>
              <w:lang w:eastAsia="en-AU"/>
            </w:rPr>
          </w:pPr>
          <w:hyperlink w:anchor="_Toc53041877" w:history="1">
            <w:r w:rsidR="008A0919" w:rsidRPr="006D2521">
              <w:rPr>
                <w:rStyle w:val="Hyperlink"/>
                <w:noProof/>
              </w:rPr>
              <w:t>Glossary</w:t>
            </w:r>
            <w:r w:rsidR="008A0919">
              <w:rPr>
                <w:noProof/>
                <w:webHidden/>
              </w:rPr>
              <w:tab/>
            </w:r>
            <w:r w:rsidR="008A0919">
              <w:rPr>
                <w:noProof/>
                <w:webHidden/>
              </w:rPr>
              <w:fldChar w:fldCharType="begin"/>
            </w:r>
            <w:r w:rsidR="008A0919">
              <w:rPr>
                <w:noProof/>
                <w:webHidden/>
              </w:rPr>
              <w:instrText xml:space="preserve"> PAGEREF _Toc53041877 \h </w:instrText>
            </w:r>
            <w:r w:rsidR="008A0919">
              <w:rPr>
                <w:noProof/>
                <w:webHidden/>
              </w:rPr>
            </w:r>
            <w:r w:rsidR="008A0919">
              <w:rPr>
                <w:noProof/>
                <w:webHidden/>
              </w:rPr>
              <w:fldChar w:fldCharType="separate"/>
            </w:r>
            <w:r>
              <w:rPr>
                <w:noProof/>
                <w:webHidden/>
              </w:rPr>
              <w:t>31</w:t>
            </w:r>
            <w:r w:rsidR="008A0919">
              <w:rPr>
                <w:noProof/>
                <w:webHidden/>
              </w:rPr>
              <w:fldChar w:fldCharType="end"/>
            </w:r>
          </w:hyperlink>
        </w:p>
        <w:p w14:paraId="34AC992C" w14:textId="26AE1132" w:rsidR="00D8212D" w:rsidRDefault="00D8212D" w:rsidP="004C79C0">
          <w:pPr>
            <w:pStyle w:val="TOC1"/>
            <w:tabs>
              <w:tab w:val="right" w:pos="7938"/>
            </w:tabs>
          </w:pPr>
          <w:r>
            <w:fldChar w:fldCharType="end"/>
          </w:r>
        </w:p>
      </w:sdtContent>
    </w:sdt>
    <w:bookmarkEnd w:id="6"/>
    <w:bookmarkEnd w:id="5"/>
    <w:p w14:paraId="594133F7" w14:textId="1D736A5F" w:rsidR="00C343D1" w:rsidRDefault="00C343D1" w:rsidP="00BE1E89">
      <w:r>
        <w:br w:type="page"/>
      </w:r>
    </w:p>
    <w:p w14:paraId="4C0A2217" w14:textId="30E76AD8" w:rsidR="00C476E2" w:rsidRPr="00341BAF" w:rsidRDefault="00C476E2" w:rsidP="00DE3A93">
      <w:pPr>
        <w:pStyle w:val="Heading2"/>
      </w:pPr>
      <w:bookmarkStart w:id="7" w:name="_Toc53041858"/>
      <w:r w:rsidRPr="00341BAF">
        <w:lastRenderedPageBreak/>
        <w:t>Acknowledgment of Country</w:t>
      </w:r>
      <w:bookmarkEnd w:id="7"/>
    </w:p>
    <w:p w14:paraId="70E01FB0" w14:textId="77777777" w:rsidR="00C46CFA" w:rsidRDefault="00C46CFA" w:rsidP="00C46CFA">
      <w:r>
        <w:t>Aboriginal people have made, and continue to make, a unique and irreplaceable contribution to the State of South Australia.</w:t>
      </w:r>
    </w:p>
    <w:p w14:paraId="054272DF" w14:textId="77777777" w:rsidR="00C46CFA" w:rsidRDefault="00C46CFA" w:rsidP="00C46CFA">
      <w:r>
        <w:t>The South Australian Government acknowledges and respects Aboriginal people as the State’s first people and recognises Aboriginal people as traditional owners and occupants of South Australian land and waters.</w:t>
      </w:r>
    </w:p>
    <w:p w14:paraId="6BFAB18F" w14:textId="53978830" w:rsidR="00E12934" w:rsidRPr="002D69CD" w:rsidRDefault="00C46CFA" w:rsidP="00C46CFA">
      <w:r>
        <w:t>The South Australian Government acknowledges that the spiritual, social, cultural and economic practices of Aboriginal people come from their traditional lands and waters, and that Aboriginal people maintain cultural and heritage beliefs, languages and laws that are of ongoing importance today.</w:t>
      </w:r>
    </w:p>
    <w:p w14:paraId="33471119" w14:textId="151F0584" w:rsidR="00CE4386" w:rsidRPr="00DE3A93" w:rsidRDefault="001A04A0" w:rsidP="00DE3A93">
      <w:pPr>
        <w:pStyle w:val="Heading2"/>
      </w:pPr>
      <w:bookmarkStart w:id="8" w:name="_Toc53041859"/>
      <w:r w:rsidRPr="00DE3A93">
        <w:t>About the Department of Human Services</w:t>
      </w:r>
      <w:bookmarkEnd w:id="8"/>
    </w:p>
    <w:p w14:paraId="260DE362" w14:textId="376382F8" w:rsidR="00985DF6" w:rsidRDefault="006F7998" w:rsidP="00F82A7E">
      <w:r w:rsidRPr="006F7998">
        <w:t xml:space="preserve">DHS </w:t>
      </w:r>
      <w:r w:rsidR="00E824D7">
        <w:t>brings together a range of services and policies designed to support vulnerable people and to help build resilient communities. We have</w:t>
      </w:r>
      <w:r w:rsidRPr="006F7998">
        <w:t xml:space="preserve"> lead responsibility</w:t>
      </w:r>
      <w:r w:rsidR="004D3DEE">
        <w:t>,</w:t>
      </w:r>
      <w:r w:rsidRPr="006F7998">
        <w:t xml:space="preserve"> on behalf of the South Australian </w:t>
      </w:r>
      <w:r w:rsidR="00730CB3">
        <w:t>G</w:t>
      </w:r>
      <w:r w:rsidRPr="006F7998">
        <w:t>overnment</w:t>
      </w:r>
      <w:r w:rsidR="004D3DEE">
        <w:t>,</w:t>
      </w:r>
      <w:r w:rsidRPr="006F7998">
        <w:t xml:space="preserve"> in the areas of</w:t>
      </w:r>
      <w:r w:rsidR="003660BC">
        <w:t xml:space="preserve"> disability</w:t>
      </w:r>
      <w:r w:rsidR="001500E5">
        <w:t xml:space="preserve">, </w:t>
      </w:r>
      <w:r w:rsidR="003660BC">
        <w:t>early intervention to support</w:t>
      </w:r>
      <w:r w:rsidR="00CE6DDC">
        <w:t xml:space="preserve"> </w:t>
      </w:r>
      <w:r w:rsidR="003660BC">
        <w:t xml:space="preserve">health, safety and wellbeing of </w:t>
      </w:r>
      <w:r w:rsidR="00985DF6">
        <w:t>children,</w:t>
      </w:r>
      <w:r w:rsidR="003660BC">
        <w:t xml:space="preserve"> youth justice</w:t>
      </w:r>
      <w:r w:rsidR="00985DF6">
        <w:t>,</w:t>
      </w:r>
      <w:r w:rsidR="003660BC">
        <w:t xml:space="preserve"> domestic violence</w:t>
      </w:r>
      <w:r w:rsidR="00CE6DDC">
        <w:t xml:space="preserve"> intervention</w:t>
      </w:r>
      <w:r w:rsidR="004A2FA7">
        <w:t xml:space="preserve"> and </w:t>
      </w:r>
      <w:r w:rsidR="003660BC">
        <w:t>screening services</w:t>
      </w:r>
      <w:r w:rsidR="004A2FA7">
        <w:t>.</w:t>
      </w:r>
      <w:r w:rsidR="003660BC">
        <w:t xml:space="preserve"> </w:t>
      </w:r>
      <w:r w:rsidR="00985DF6">
        <w:t>DHS has lead policy responsibility in relation to women, youth</w:t>
      </w:r>
      <w:r w:rsidR="00EA4DF8">
        <w:t xml:space="preserve">, problem gambling </w:t>
      </w:r>
      <w:r w:rsidR="00985DF6">
        <w:t>and volunteers.</w:t>
      </w:r>
    </w:p>
    <w:p w14:paraId="42D181C9" w14:textId="71C92A11" w:rsidR="000D6821" w:rsidRPr="00756AFD" w:rsidRDefault="00FB2C07" w:rsidP="00F82A7E">
      <w:r>
        <w:t xml:space="preserve">The </w:t>
      </w:r>
      <w:r w:rsidR="00CC55D7">
        <w:t>d</w:t>
      </w:r>
      <w:r>
        <w:t>epartment provides</w:t>
      </w:r>
      <w:r w:rsidR="00985DF6" w:rsidRPr="00756AFD">
        <w:t xml:space="preserve"> </w:t>
      </w:r>
      <w:r w:rsidR="000D6821" w:rsidRPr="00756AFD">
        <w:t>over $3 million in grants annually to community organisations to improve community participation, wellbeing and quality of life for South Australians, particularly those who are experiencing disadvantage.</w:t>
      </w:r>
      <w:r>
        <w:t xml:space="preserve"> </w:t>
      </w:r>
      <w:r w:rsidRPr="00FB2C07">
        <w:t>DHS also delivers a range of concessions and services to eligible South Australians and provides interpreting and translating services.</w:t>
      </w:r>
    </w:p>
    <w:p w14:paraId="5B08DB82" w14:textId="2179A439" w:rsidR="00CE6DDC" w:rsidRDefault="00CE6DDC" w:rsidP="00F82A7E">
      <w:r>
        <w:t>Our aim is to empower the South Australian community by providing a range of services and funding</w:t>
      </w:r>
      <w:r w:rsidR="00DE3A93">
        <w:t>,</w:t>
      </w:r>
      <w:r>
        <w:t xml:space="preserve"> and</w:t>
      </w:r>
      <w:r w:rsidR="00DE3A93">
        <w:t xml:space="preserve"> to</w:t>
      </w:r>
      <w:r>
        <w:t xml:space="preserve"> lead policy reform that supports fairness, opportunity and choice. </w:t>
      </w:r>
    </w:p>
    <w:p w14:paraId="59DB03E5" w14:textId="312C8F59" w:rsidR="00042F63" w:rsidRPr="00341BAF" w:rsidRDefault="00042F63" w:rsidP="00DE3A93">
      <w:pPr>
        <w:pStyle w:val="Heading2"/>
      </w:pPr>
      <w:bookmarkStart w:id="9" w:name="_Toc53041860"/>
      <w:r w:rsidRPr="00341BAF">
        <w:t>Our vision</w:t>
      </w:r>
      <w:bookmarkEnd w:id="9"/>
    </w:p>
    <w:p w14:paraId="77A86244" w14:textId="3ABA182F" w:rsidR="004121EF" w:rsidRDefault="0003337E" w:rsidP="00F82A7E">
      <w:r>
        <w:t xml:space="preserve">Our </w:t>
      </w:r>
      <w:r w:rsidRPr="000E6753">
        <w:rPr>
          <w:b/>
          <w:bCs/>
        </w:rPr>
        <w:t>vision</w:t>
      </w:r>
      <w:r>
        <w:t xml:space="preserve"> is </w:t>
      </w:r>
      <w:r w:rsidR="00513F9A">
        <w:t xml:space="preserve">fairness, </w:t>
      </w:r>
      <w:r w:rsidR="00A94A73">
        <w:t>opportunity,</w:t>
      </w:r>
      <w:r w:rsidR="00513F9A">
        <w:t xml:space="preserve"> and choice for all South Australians.</w:t>
      </w:r>
    </w:p>
    <w:p w14:paraId="03781E3B" w14:textId="60AEFCC6" w:rsidR="00083CF1" w:rsidRDefault="00083CF1" w:rsidP="00F82A7E">
      <w:r>
        <w:t xml:space="preserve">Our </w:t>
      </w:r>
      <w:r w:rsidRPr="000E6753">
        <w:rPr>
          <w:b/>
          <w:bCs/>
        </w:rPr>
        <w:t>purpose</w:t>
      </w:r>
      <w:r>
        <w:t xml:space="preserve"> is to deliver strategies, programs and services that improve the wellbeing and safety of South Australians.</w:t>
      </w:r>
    </w:p>
    <w:p w14:paraId="7D8DBD78" w14:textId="6209D82A" w:rsidR="00F037A0" w:rsidRDefault="00F037A0" w:rsidP="00F82A7E">
      <w:r>
        <w:t xml:space="preserve">Our </w:t>
      </w:r>
      <w:r w:rsidRPr="000E6753">
        <w:t>strategic goals</w:t>
      </w:r>
      <w:r>
        <w:t xml:space="preserve"> are:</w:t>
      </w:r>
    </w:p>
    <w:p w14:paraId="2EB6A830" w14:textId="4F07F538" w:rsidR="00F037A0" w:rsidRDefault="00F037A0" w:rsidP="00602381">
      <w:pPr>
        <w:pStyle w:val="Bullet-Disc"/>
      </w:pPr>
      <w:r>
        <w:t>Better services and programs that make a lasting difference for individuals, families and communities</w:t>
      </w:r>
      <w:r w:rsidR="00EC42C9">
        <w:t>.</w:t>
      </w:r>
    </w:p>
    <w:p w14:paraId="66CC1376" w14:textId="7F573DAE" w:rsidR="00F037A0" w:rsidRDefault="00F037A0" w:rsidP="00602381">
      <w:pPr>
        <w:pStyle w:val="Bullet-Disc"/>
      </w:pPr>
      <w:r>
        <w:t>A customer-focused organisation that puts people first</w:t>
      </w:r>
      <w:r w:rsidR="00EC42C9">
        <w:t>.</w:t>
      </w:r>
    </w:p>
    <w:p w14:paraId="7825DFD6" w14:textId="50E64255" w:rsidR="00F037A0" w:rsidRDefault="008E2CC6" w:rsidP="00602381">
      <w:pPr>
        <w:pStyle w:val="Bullet-Disc"/>
      </w:pPr>
      <w:r>
        <w:t>Accountable, efficient, open and collaborative government</w:t>
      </w:r>
      <w:r w:rsidR="00EC42C9">
        <w:t>.</w:t>
      </w:r>
    </w:p>
    <w:p w14:paraId="2184C86D" w14:textId="4E66EBCB" w:rsidR="008E2CC6" w:rsidRDefault="008E2CC6" w:rsidP="00602381">
      <w:pPr>
        <w:pStyle w:val="Bullet-Disc"/>
      </w:pPr>
      <w:r>
        <w:t>A motivated, skilled, safe and inclusive workforce</w:t>
      </w:r>
      <w:r w:rsidR="004D3DEE">
        <w:t>.</w:t>
      </w:r>
    </w:p>
    <w:p w14:paraId="4593F431" w14:textId="22287018" w:rsidR="00865138" w:rsidRPr="00865138" w:rsidRDefault="00F40ACF" w:rsidP="00DE3A93">
      <w:pPr>
        <w:pStyle w:val="Heading2"/>
      </w:pPr>
      <w:bookmarkStart w:id="10" w:name="_Toc53041861"/>
      <w:r w:rsidRPr="00F40ACF">
        <w:t xml:space="preserve">Our </w:t>
      </w:r>
      <w:r w:rsidR="004D3DEE">
        <w:t>s</w:t>
      </w:r>
      <w:r w:rsidRPr="00F40ACF">
        <w:t>taff</w:t>
      </w:r>
      <w:bookmarkEnd w:id="10"/>
    </w:p>
    <w:p w14:paraId="0DBAF3C2" w14:textId="2C4A9AA3" w:rsidR="00865138" w:rsidRPr="00865138" w:rsidRDefault="00865138" w:rsidP="00F82A7E">
      <w:bookmarkStart w:id="11" w:name="_Hlk51250708"/>
      <w:r w:rsidRPr="00DC0101">
        <w:t xml:space="preserve">DHS is committed to increasing workforce diversity and providing greater employment opportunities for people with disability. As </w:t>
      </w:r>
      <w:proofErr w:type="gramStart"/>
      <w:r w:rsidRPr="00DC0101">
        <w:t>at</w:t>
      </w:r>
      <w:proofErr w:type="gramEnd"/>
      <w:r w:rsidRPr="00DC0101">
        <w:t xml:space="preserve"> </w:t>
      </w:r>
      <w:r w:rsidR="00155E25" w:rsidRPr="00BE454B">
        <w:t xml:space="preserve">September </w:t>
      </w:r>
      <w:r w:rsidRPr="00DC0101">
        <w:t xml:space="preserve">2020, </w:t>
      </w:r>
      <w:r w:rsidR="00155E25" w:rsidRPr="00BE454B">
        <w:t>4.2</w:t>
      </w:r>
      <w:r w:rsidR="00BE454B">
        <w:t xml:space="preserve"> </w:t>
      </w:r>
      <w:r w:rsidR="004A4260">
        <w:t>percent</w:t>
      </w:r>
      <w:r w:rsidRPr="00DC0101">
        <w:t xml:space="preserve"> (</w:t>
      </w:r>
      <w:r w:rsidR="00155E25" w:rsidRPr="00BE454B">
        <w:t>133</w:t>
      </w:r>
      <w:r w:rsidRPr="00DC0101">
        <w:t xml:space="preserve"> employees) of the DHS workforce identify as having </w:t>
      </w:r>
      <w:r w:rsidR="007176B7">
        <w:t xml:space="preserve">a </w:t>
      </w:r>
      <w:r w:rsidRPr="00DC0101">
        <w:t>disability, of whom 8</w:t>
      </w:r>
      <w:r w:rsidR="0049571E" w:rsidRPr="00BE454B">
        <w:t>0</w:t>
      </w:r>
      <w:r w:rsidR="00BE454B">
        <w:t xml:space="preserve"> </w:t>
      </w:r>
      <w:r w:rsidR="004A4260">
        <w:t>percent</w:t>
      </w:r>
      <w:r w:rsidR="00BE454B" w:rsidRPr="00DC0101">
        <w:t xml:space="preserve"> </w:t>
      </w:r>
      <w:r w:rsidRPr="00DC0101">
        <w:t xml:space="preserve">are in ongoing contracts. The average age of employees </w:t>
      </w:r>
      <w:r w:rsidR="00466955">
        <w:t>with disability</w:t>
      </w:r>
      <w:r w:rsidRPr="00DC0101">
        <w:t xml:space="preserve"> is 47</w:t>
      </w:r>
      <w:r w:rsidRPr="00671288">
        <w:t xml:space="preserve"> and the</w:t>
      </w:r>
      <w:r w:rsidRPr="00865138">
        <w:t xml:space="preserve"> average tenure is 11 years.</w:t>
      </w:r>
      <w:r w:rsidR="00120A28">
        <w:t xml:space="preserve"> </w:t>
      </w:r>
    </w:p>
    <w:bookmarkEnd w:id="11"/>
    <w:p w14:paraId="04D52DE9" w14:textId="69764857" w:rsidR="007176B7" w:rsidRPr="000D6821" w:rsidRDefault="00FB2C07" w:rsidP="00F82A7E">
      <w:r>
        <w:lastRenderedPageBreak/>
        <w:t xml:space="preserve">The </w:t>
      </w:r>
      <w:r w:rsidR="00865138" w:rsidRPr="000D6821">
        <w:t>DHS Diversity and Inclusion Strategy 2017</w:t>
      </w:r>
      <w:r w:rsidR="00D37DF2">
        <w:t>–</w:t>
      </w:r>
      <w:r w:rsidR="00865138" w:rsidRPr="000D6821">
        <w:t>2020 outlines four objectives that we as a department have committed to</w:t>
      </w:r>
      <w:r w:rsidR="007176B7" w:rsidRPr="000D6821">
        <w:t>:</w:t>
      </w:r>
      <w:r w:rsidR="00865138" w:rsidRPr="000D6821">
        <w:t xml:space="preserve"> </w:t>
      </w:r>
    </w:p>
    <w:p w14:paraId="5EC53A81" w14:textId="4CA58319" w:rsidR="007176B7" w:rsidRPr="00602381" w:rsidRDefault="00892DF3" w:rsidP="00602381">
      <w:pPr>
        <w:pStyle w:val="Bullet-Numbered"/>
      </w:pPr>
      <w:r>
        <w:t>I</w:t>
      </w:r>
      <w:r w:rsidRPr="00602381">
        <w:t>ncrease employment numbers</w:t>
      </w:r>
      <w:r w:rsidR="00170A39">
        <w:t>.</w:t>
      </w:r>
    </w:p>
    <w:p w14:paraId="64AA1927" w14:textId="04A34248" w:rsidR="007176B7" w:rsidRPr="00602381" w:rsidRDefault="00892DF3" w:rsidP="00602381">
      <w:pPr>
        <w:pStyle w:val="Bullet-Numbered"/>
      </w:pPr>
      <w:r w:rsidRPr="00602381">
        <w:t>Foster a sense of belonging and equal opportunity</w:t>
      </w:r>
      <w:r w:rsidR="00170A39">
        <w:t>.</w:t>
      </w:r>
    </w:p>
    <w:p w14:paraId="043810CF" w14:textId="063282BA" w:rsidR="007176B7" w:rsidRPr="00602381" w:rsidRDefault="00892DF3" w:rsidP="00602381">
      <w:pPr>
        <w:pStyle w:val="Bullet-Numbered"/>
      </w:pPr>
      <w:r w:rsidRPr="00602381">
        <w:t xml:space="preserve">Increase opportunities for </w:t>
      </w:r>
      <w:r w:rsidR="00865138" w:rsidRPr="00602381">
        <w:t>development</w:t>
      </w:r>
      <w:r w:rsidR="00170A39">
        <w:t>.</w:t>
      </w:r>
    </w:p>
    <w:p w14:paraId="1B21A70A" w14:textId="44E03106" w:rsidR="007176B7" w:rsidRPr="00602381" w:rsidRDefault="00892DF3" w:rsidP="00602381">
      <w:pPr>
        <w:pStyle w:val="Bullet-Numbered"/>
      </w:pPr>
      <w:r w:rsidRPr="00602381">
        <w:t xml:space="preserve">Foster inclusive leadership. </w:t>
      </w:r>
    </w:p>
    <w:p w14:paraId="45491FB5" w14:textId="495F1443" w:rsidR="00865138" w:rsidRPr="000D6821" w:rsidRDefault="00865138" w:rsidP="00F82A7E">
      <w:r w:rsidRPr="000D6821">
        <w:t xml:space="preserve">We remain focused on working towards eliminating or reducing barriers which prevent full participation at </w:t>
      </w:r>
      <w:r w:rsidR="009F2DF5" w:rsidRPr="000D6821">
        <w:t>work and</w:t>
      </w:r>
      <w:r w:rsidRPr="000D6821">
        <w:t xml:space="preserve"> providing accessible workplaces and technologies to enable staff with disability </w:t>
      </w:r>
      <w:r w:rsidR="007176B7" w:rsidRPr="000D6821">
        <w:t xml:space="preserve">to </w:t>
      </w:r>
      <w:r w:rsidRPr="000D6821">
        <w:t>contribute fully.</w:t>
      </w:r>
      <w:r w:rsidR="00120A28">
        <w:t xml:space="preserve"> </w:t>
      </w:r>
    </w:p>
    <w:p w14:paraId="21523A1F" w14:textId="46E3DCB8" w:rsidR="00865138" w:rsidRPr="00865138" w:rsidRDefault="00865138" w:rsidP="00F82A7E">
      <w:bookmarkStart w:id="12" w:name="_Hlk51250858"/>
      <w:r w:rsidRPr="000D6821">
        <w:t>As a department we</w:t>
      </w:r>
      <w:r w:rsidR="00DC0101" w:rsidRPr="000D6821">
        <w:t xml:space="preserve"> </w:t>
      </w:r>
      <w:r w:rsidRPr="000D6821">
        <w:t xml:space="preserve">are currently </w:t>
      </w:r>
      <w:r w:rsidR="000D6821">
        <w:t>updating</w:t>
      </w:r>
      <w:r w:rsidRPr="000D6821">
        <w:t xml:space="preserve"> this </w:t>
      </w:r>
      <w:r w:rsidR="00291A33" w:rsidRPr="000D6821">
        <w:t xml:space="preserve">strategy </w:t>
      </w:r>
      <w:r w:rsidRPr="000D6821">
        <w:t xml:space="preserve">to ensure we can harness the knowledge and experience of employees including </w:t>
      </w:r>
      <w:r w:rsidR="007176B7" w:rsidRPr="000D6821">
        <w:t xml:space="preserve">those </w:t>
      </w:r>
      <w:r w:rsidRPr="000D6821">
        <w:t xml:space="preserve">who identify as having a disability. Through these avenues, we </w:t>
      </w:r>
      <w:r w:rsidR="000D6821">
        <w:t>will continue to explore actions</w:t>
      </w:r>
      <w:r w:rsidRPr="000D6821">
        <w:t xml:space="preserve"> to promote engagement and lead innovation in diverse employment practices.</w:t>
      </w:r>
    </w:p>
    <w:bookmarkEnd w:id="12"/>
    <w:p w14:paraId="6090D3E0" w14:textId="4BE37AD4" w:rsidR="00865138" w:rsidRPr="00865138" w:rsidRDefault="00865138" w:rsidP="00F82A7E">
      <w:r w:rsidRPr="00865138">
        <w:t>On a practical level DHS ha</w:t>
      </w:r>
      <w:r w:rsidR="00D40629">
        <w:t>s</w:t>
      </w:r>
      <w:r w:rsidRPr="00865138">
        <w:t xml:space="preserve"> a dedicated space on the intranet with easy</w:t>
      </w:r>
      <w:r w:rsidR="00392D01">
        <w:t>-</w:t>
      </w:r>
      <w:r w:rsidRPr="00865138">
        <w:t>to</w:t>
      </w:r>
      <w:r w:rsidR="00392D01">
        <w:t>-</w:t>
      </w:r>
      <w:r w:rsidRPr="00865138">
        <w:t>access information.</w:t>
      </w:r>
      <w:r w:rsidR="00120A28">
        <w:t xml:space="preserve"> </w:t>
      </w:r>
      <w:r w:rsidRPr="00865138">
        <w:t>The department ha</w:t>
      </w:r>
      <w:r w:rsidR="00930EF5">
        <w:t>s</w:t>
      </w:r>
      <w:r w:rsidRPr="00865138">
        <w:t xml:space="preserve"> made it mandatory for all employees to undertake disability awareness and inclusion training within the first </w:t>
      </w:r>
      <w:r w:rsidR="00291A33">
        <w:t>three</w:t>
      </w:r>
      <w:r w:rsidRPr="00865138">
        <w:t xml:space="preserve"> months of employment. </w:t>
      </w:r>
      <w:r w:rsidR="00C179DE" w:rsidRPr="00C179DE">
        <w:t xml:space="preserve">We also offer broader training opportunities including Mental Health First Aid training to ensure all DHS employees are well informed and contribute to a culture of </w:t>
      </w:r>
      <w:r w:rsidR="00DE3A93" w:rsidRPr="00C179DE">
        <w:t>inclusiveness</w:t>
      </w:r>
      <w:r w:rsidR="00291A33">
        <w:t>.</w:t>
      </w:r>
    </w:p>
    <w:p w14:paraId="2F1D2B9E" w14:textId="74722B4C" w:rsidR="00865138" w:rsidRPr="00865138" w:rsidRDefault="00865138" w:rsidP="00F82A7E">
      <w:r w:rsidRPr="00865138">
        <w:t xml:space="preserve">DHS was the first South Australian </w:t>
      </w:r>
      <w:r w:rsidR="00291A33">
        <w:t>G</w:t>
      </w:r>
      <w:r w:rsidRPr="00865138">
        <w:t>overnment department to introduce paid disability leave for our employees</w:t>
      </w:r>
      <w:r w:rsidR="001E0358">
        <w:t>,</w:t>
      </w:r>
      <w:r w:rsidRPr="00865138">
        <w:t xml:space="preserve"> which offers additional leave options should they need to take time away from the workforce due to the nature of their disability. </w:t>
      </w:r>
    </w:p>
    <w:p w14:paraId="776234F3" w14:textId="789BA259" w:rsidR="0049689E" w:rsidRPr="0049689E" w:rsidRDefault="0049689E" w:rsidP="00DE3A93">
      <w:pPr>
        <w:pStyle w:val="Heading2"/>
      </w:pPr>
      <w:bookmarkStart w:id="13" w:name="_Toc53041862"/>
      <w:r w:rsidRPr="0049689E">
        <w:t xml:space="preserve">Access and </w:t>
      </w:r>
      <w:r w:rsidR="00450A1E">
        <w:t>i</w:t>
      </w:r>
      <w:r w:rsidRPr="0049689E">
        <w:t xml:space="preserve">nclusion </w:t>
      </w:r>
      <w:r w:rsidR="00450A1E">
        <w:t>p</w:t>
      </w:r>
      <w:r w:rsidR="00450A1E" w:rsidRPr="0049689E">
        <w:t>lanning</w:t>
      </w:r>
      <w:r w:rsidRPr="0049689E">
        <w:t xml:space="preserve">: </w:t>
      </w:r>
      <w:r w:rsidR="002E583A">
        <w:t>t</w:t>
      </w:r>
      <w:r w:rsidR="00840A9D" w:rsidRPr="0049689E">
        <w:t>he</w:t>
      </w:r>
      <w:r w:rsidRPr="0049689E">
        <w:t xml:space="preserve"> </w:t>
      </w:r>
      <w:r w:rsidR="00450A1E">
        <w:t>s</w:t>
      </w:r>
      <w:r w:rsidRPr="0049689E">
        <w:t xml:space="preserve">trategic </w:t>
      </w:r>
      <w:r w:rsidR="00450A1E">
        <w:t>c</w:t>
      </w:r>
      <w:r w:rsidR="00450A1E" w:rsidRPr="0049689E">
        <w:t>ontext</w:t>
      </w:r>
      <w:bookmarkEnd w:id="13"/>
    </w:p>
    <w:p w14:paraId="4837BEB4" w14:textId="43FC56BE" w:rsidR="00840A9D" w:rsidRDefault="00840A9D" w:rsidP="00F82A7E">
      <w:r w:rsidRPr="00840A9D">
        <w:t xml:space="preserve">The </w:t>
      </w:r>
      <w:r w:rsidRPr="00840A9D">
        <w:rPr>
          <w:i/>
          <w:iCs/>
        </w:rPr>
        <w:t>Disability Inclusion Act 2018</w:t>
      </w:r>
      <w:r w:rsidRPr="00840A9D">
        <w:t xml:space="preserve"> </w:t>
      </w:r>
      <w:r>
        <w:t>(SA)</w:t>
      </w:r>
      <w:r w:rsidRPr="00840A9D">
        <w:t xml:space="preserve"> </w:t>
      </w:r>
      <w:r w:rsidR="00C23021">
        <w:t xml:space="preserve">(Act) </w:t>
      </w:r>
      <w:r w:rsidRPr="00840A9D">
        <w:t>supports the United Nations Convention on the Rights of Persons with Disabilities acknowledging that people living with disability have the same human rights as other members of the community.</w:t>
      </w:r>
    </w:p>
    <w:p w14:paraId="700D584A" w14:textId="77AD8D25" w:rsidR="005B3912" w:rsidRDefault="003B7A53" w:rsidP="00F82A7E">
      <w:r>
        <w:t xml:space="preserve">The Act also establishes a framework to support a whole of Government approach to improving the inclusion of all South Australians </w:t>
      </w:r>
      <w:r w:rsidR="004829B4">
        <w:t xml:space="preserve">living with </w:t>
      </w:r>
      <w:r>
        <w:t>disability.</w:t>
      </w:r>
      <w:r w:rsidR="00A56F17">
        <w:t xml:space="preserve"> To achieve this, the Act requires </w:t>
      </w:r>
      <w:r w:rsidR="00A94A73">
        <w:t>all State authorities</w:t>
      </w:r>
      <w:r w:rsidR="00A56F17">
        <w:t xml:space="preserve"> to develop </w:t>
      </w:r>
      <w:r w:rsidR="00A94A73">
        <w:t>and publish</w:t>
      </w:r>
      <w:r w:rsidR="00A56F17">
        <w:t xml:space="preserve"> </w:t>
      </w:r>
      <w:r w:rsidR="004829B4">
        <w:t>disability access and inclusion plans (</w:t>
      </w:r>
      <w:r w:rsidR="00ED638E">
        <w:t>DAI</w:t>
      </w:r>
      <w:r w:rsidR="00DE3B03">
        <w:t>Ps</w:t>
      </w:r>
      <w:r w:rsidR="00A36D3F">
        <w:t>)</w:t>
      </w:r>
      <w:r w:rsidR="00A56F17">
        <w:t xml:space="preserve"> that relate to the specific supports and services they provide. </w:t>
      </w:r>
    </w:p>
    <w:p w14:paraId="54DEEECD" w14:textId="498EC014" w:rsidR="007C7DED" w:rsidRPr="00756AFD" w:rsidRDefault="00A36D3F" w:rsidP="00F82A7E">
      <w:r>
        <w:t xml:space="preserve">The </w:t>
      </w:r>
      <w:r w:rsidRPr="00291A33">
        <w:rPr>
          <w:i/>
          <w:iCs/>
        </w:rPr>
        <w:t>State Disability Inclusion Plan</w:t>
      </w:r>
      <w:r w:rsidR="00C23021" w:rsidRPr="00291A33">
        <w:rPr>
          <w:i/>
          <w:iCs/>
        </w:rPr>
        <w:t xml:space="preserve"> 2019</w:t>
      </w:r>
      <w:r w:rsidR="00D37DF2">
        <w:rPr>
          <w:i/>
          <w:iCs/>
        </w:rPr>
        <w:t>–</w:t>
      </w:r>
      <w:r w:rsidR="00C23021" w:rsidRPr="00291A33">
        <w:rPr>
          <w:i/>
          <w:iCs/>
        </w:rPr>
        <w:t>2023: Inclusive SA</w:t>
      </w:r>
      <w:r w:rsidR="00730CB3">
        <w:rPr>
          <w:i/>
          <w:iCs/>
        </w:rPr>
        <w:t xml:space="preserve"> </w:t>
      </w:r>
      <w:r w:rsidR="00730CB3" w:rsidRPr="00291A33">
        <w:t>(Inclusive SA)</w:t>
      </w:r>
      <w:r>
        <w:t xml:space="preserve"> and State authorit</w:t>
      </w:r>
      <w:r w:rsidR="005F447E">
        <w:t>ies’</w:t>
      </w:r>
      <w:r>
        <w:t xml:space="preserve"> DAIPs will together support South Australia’s implementation of the </w:t>
      </w:r>
      <w:r w:rsidR="009B1AE5">
        <w:t xml:space="preserve">six </w:t>
      </w:r>
      <w:r w:rsidR="009C5368" w:rsidRPr="00756AFD">
        <w:t>outcome</w:t>
      </w:r>
      <w:r w:rsidR="009B1AE5" w:rsidRPr="00756AFD">
        <w:t xml:space="preserve"> areas within the </w:t>
      </w:r>
      <w:r w:rsidRPr="00756AFD">
        <w:rPr>
          <w:i/>
          <w:iCs/>
        </w:rPr>
        <w:t xml:space="preserve">National Disability Strategy </w:t>
      </w:r>
      <w:r w:rsidR="009B1AE5" w:rsidRPr="00756AFD">
        <w:rPr>
          <w:i/>
          <w:iCs/>
        </w:rPr>
        <w:t>2010</w:t>
      </w:r>
      <w:r w:rsidR="00D37DF2">
        <w:rPr>
          <w:i/>
          <w:iCs/>
        </w:rPr>
        <w:t>–</w:t>
      </w:r>
      <w:r w:rsidR="009B1AE5" w:rsidRPr="00756AFD">
        <w:rPr>
          <w:i/>
          <w:iCs/>
        </w:rPr>
        <w:t>2020</w:t>
      </w:r>
      <w:r w:rsidR="009B1AE5" w:rsidRPr="00756AFD">
        <w:t xml:space="preserve">, </w:t>
      </w:r>
      <w:r w:rsidRPr="00756AFD">
        <w:t xml:space="preserve">which </w:t>
      </w:r>
      <w:r w:rsidR="00A21105" w:rsidRPr="00756AFD">
        <w:t>are</w:t>
      </w:r>
      <w:r w:rsidR="007C7DED" w:rsidRPr="00756AFD">
        <w:t>:</w:t>
      </w:r>
    </w:p>
    <w:p w14:paraId="077C1CFF" w14:textId="2479C617" w:rsidR="007C7DED" w:rsidRPr="00756AFD" w:rsidRDefault="007C7DED" w:rsidP="00602381">
      <w:pPr>
        <w:pStyle w:val="Bullet-Disc"/>
      </w:pPr>
      <w:r w:rsidRPr="00756AFD">
        <w:t>Inclusive and accessible communities</w:t>
      </w:r>
    </w:p>
    <w:p w14:paraId="3F71130A" w14:textId="6EB12CA1" w:rsidR="007C7DED" w:rsidRPr="00756AFD" w:rsidRDefault="007C7DED" w:rsidP="00602381">
      <w:pPr>
        <w:pStyle w:val="Bullet-Disc"/>
      </w:pPr>
      <w:r w:rsidRPr="00756AFD">
        <w:t>Rights protection, justice and legislation</w:t>
      </w:r>
    </w:p>
    <w:p w14:paraId="6FF44D82" w14:textId="1E0A193F" w:rsidR="007C7DED" w:rsidRPr="00602381" w:rsidRDefault="007C7DED" w:rsidP="00602381">
      <w:pPr>
        <w:pStyle w:val="Bullet-Disc"/>
      </w:pPr>
      <w:r w:rsidRPr="00602381">
        <w:t>Economic security</w:t>
      </w:r>
    </w:p>
    <w:p w14:paraId="0A4E5D21" w14:textId="04774A00" w:rsidR="007C7DED" w:rsidRPr="00756AFD" w:rsidRDefault="007C7DED" w:rsidP="00602381">
      <w:pPr>
        <w:pStyle w:val="Bullet-Disc"/>
      </w:pPr>
      <w:r w:rsidRPr="00756AFD">
        <w:t>Personal and community support</w:t>
      </w:r>
    </w:p>
    <w:p w14:paraId="7B5779DA" w14:textId="6F5E99BE" w:rsidR="007C7DED" w:rsidRPr="00756AFD" w:rsidRDefault="007C7DED" w:rsidP="00602381">
      <w:pPr>
        <w:pStyle w:val="Bullet-Disc"/>
      </w:pPr>
      <w:r w:rsidRPr="00756AFD">
        <w:t>Learning and skills</w:t>
      </w:r>
    </w:p>
    <w:p w14:paraId="65EA893E" w14:textId="77777777" w:rsidR="007C7DED" w:rsidRPr="00756AFD" w:rsidRDefault="007C7DED" w:rsidP="00602381">
      <w:pPr>
        <w:pStyle w:val="Bullet-Disc"/>
      </w:pPr>
      <w:r w:rsidRPr="00756AFD">
        <w:t xml:space="preserve">Health and wellbeing. </w:t>
      </w:r>
    </w:p>
    <w:p w14:paraId="5985BA87" w14:textId="0C280192" w:rsidR="00A36D3F" w:rsidRDefault="00A21105" w:rsidP="00F82A7E">
      <w:r>
        <w:lastRenderedPageBreak/>
        <w:t>Th</w:t>
      </w:r>
      <w:r w:rsidR="00A36D3F">
        <w:t xml:space="preserve">is </w:t>
      </w:r>
      <w:r w:rsidR="005F39B1">
        <w:t xml:space="preserve">is </w:t>
      </w:r>
      <w:r w:rsidR="00A36D3F">
        <w:t>a coordinated plan across all levels of government within Australia to improve the lives of people living with disability, their families and carers</w:t>
      </w:r>
      <w:r w:rsidR="009B1AE5">
        <w:t>, and to provid</w:t>
      </w:r>
      <w:r>
        <w:t>e</w:t>
      </w:r>
      <w:r w:rsidR="009B1AE5">
        <w:t xml:space="preserve"> leadership for a community-wide shift in attitudes</w:t>
      </w:r>
      <w:r w:rsidR="00A36D3F">
        <w:t>.</w:t>
      </w:r>
      <w:r w:rsidR="009B1AE5">
        <w:t xml:space="preserve"> </w:t>
      </w:r>
    </w:p>
    <w:p w14:paraId="19463E82" w14:textId="2B72B032" w:rsidR="00A56F17" w:rsidRDefault="00C23021" w:rsidP="00F82A7E">
      <w:r w:rsidRPr="00291A33">
        <w:t>Inclusive SA</w:t>
      </w:r>
      <w:r>
        <w:t xml:space="preserve"> </w:t>
      </w:r>
      <w:r w:rsidR="00A56F17">
        <w:t xml:space="preserve">was </w:t>
      </w:r>
      <w:r w:rsidR="00C0062F">
        <w:t>published on 31 October 2019</w:t>
      </w:r>
      <w:r w:rsidR="00A94A73">
        <w:t xml:space="preserve"> and provides a vision for South Australia that is accessible and inclusive of all the community, and where people living with disability are valued and treated with respect</w:t>
      </w:r>
      <w:r w:rsidR="00C0062F">
        <w:t xml:space="preserve">. </w:t>
      </w:r>
      <w:r w:rsidR="00A94A73" w:rsidRPr="00291A33">
        <w:t>Inclusive SA</w:t>
      </w:r>
      <w:r w:rsidR="00A94A73">
        <w:rPr>
          <w:i/>
          <w:iCs/>
        </w:rPr>
        <w:t xml:space="preserve"> </w:t>
      </w:r>
      <w:r w:rsidR="009B1AE5">
        <w:t>has 12 priority areas, set within four themes:</w:t>
      </w:r>
    </w:p>
    <w:p w14:paraId="7A282D35" w14:textId="4972DA2D" w:rsidR="009B1AE5" w:rsidRPr="00291A33" w:rsidRDefault="009B1AE5" w:rsidP="00602381">
      <w:pPr>
        <w:pStyle w:val="Bullet-Disc"/>
      </w:pPr>
      <w:r>
        <w:t>I</w:t>
      </w:r>
      <w:r w:rsidRPr="00291A33">
        <w:t xml:space="preserve">nclusive communities for all </w:t>
      </w:r>
    </w:p>
    <w:p w14:paraId="725B4C2D" w14:textId="23D156CB" w:rsidR="009B1AE5" w:rsidRPr="00291A33" w:rsidRDefault="009B1AE5" w:rsidP="00602381">
      <w:pPr>
        <w:pStyle w:val="Bullet-Disc"/>
      </w:pPr>
      <w:r w:rsidRPr="00291A33">
        <w:t xml:space="preserve">Leadership and collaboration </w:t>
      </w:r>
    </w:p>
    <w:p w14:paraId="3386595A" w14:textId="00757082" w:rsidR="009B1AE5" w:rsidRPr="00291A33" w:rsidRDefault="009B1AE5" w:rsidP="00602381">
      <w:pPr>
        <w:pStyle w:val="Bullet-Disc"/>
      </w:pPr>
      <w:r w:rsidRPr="00291A33">
        <w:t xml:space="preserve">Accessible communities </w:t>
      </w:r>
    </w:p>
    <w:p w14:paraId="211869C9" w14:textId="165507F0" w:rsidR="009B1AE5" w:rsidRPr="00291A33" w:rsidRDefault="009B1AE5" w:rsidP="00602381">
      <w:pPr>
        <w:pStyle w:val="Bullet-Disc"/>
      </w:pPr>
      <w:r w:rsidRPr="00291A33">
        <w:t>Learning and employment</w:t>
      </w:r>
    </w:p>
    <w:p w14:paraId="70DE8617" w14:textId="0F57B911" w:rsidR="009B1AE5" w:rsidRDefault="00C0062F" w:rsidP="00F82A7E">
      <w:r>
        <w:t xml:space="preserve">Our DAIP </w:t>
      </w:r>
      <w:r w:rsidR="00A3204F">
        <w:t xml:space="preserve">sets out the actions we will take </w:t>
      </w:r>
      <w:r w:rsidR="00B16B24">
        <w:t xml:space="preserve">over the next four years </w:t>
      </w:r>
      <w:r w:rsidR="00A3204F">
        <w:t>to</w:t>
      </w:r>
      <w:r w:rsidR="009F13AB">
        <w:t xml:space="preserve"> achieve a more inclusive South Australia</w:t>
      </w:r>
      <w:r w:rsidR="00A94A73">
        <w:t xml:space="preserve"> and </w:t>
      </w:r>
      <w:r w:rsidR="009F13AB">
        <w:t>align</w:t>
      </w:r>
      <w:r w:rsidR="00A85250">
        <w:t>s</w:t>
      </w:r>
      <w:r w:rsidR="009F13AB">
        <w:t xml:space="preserve"> </w:t>
      </w:r>
      <w:r w:rsidR="00A94A73">
        <w:t xml:space="preserve">closely </w:t>
      </w:r>
      <w:r w:rsidR="009F13AB">
        <w:t>t</w:t>
      </w:r>
      <w:r w:rsidR="00144C8F">
        <w:t xml:space="preserve">o the </w:t>
      </w:r>
      <w:r w:rsidR="009B1AE5">
        <w:t xml:space="preserve">four </w:t>
      </w:r>
      <w:r w:rsidR="00144C8F">
        <w:t xml:space="preserve">key themes and </w:t>
      </w:r>
      <w:r w:rsidR="00E141BA">
        <w:t xml:space="preserve">priorities in </w:t>
      </w:r>
      <w:r w:rsidR="00C23021" w:rsidRPr="00291A33">
        <w:t>Inclusive</w:t>
      </w:r>
      <w:r w:rsidR="00C23021" w:rsidRPr="00C23021">
        <w:rPr>
          <w:i/>
          <w:iCs/>
        </w:rPr>
        <w:t xml:space="preserve"> </w:t>
      </w:r>
      <w:r w:rsidR="00C23021" w:rsidRPr="00291A33">
        <w:t>SA</w:t>
      </w:r>
      <w:r w:rsidR="00C23021" w:rsidRPr="00C23021">
        <w:rPr>
          <w:i/>
          <w:iCs/>
        </w:rPr>
        <w:t>.</w:t>
      </w:r>
      <w:r w:rsidR="00C23021" w:rsidRPr="00C23021">
        <w:t xml:space="preserve"> </w:t>
      </w:r>
    </w:p>
    <w:p w14:paraId="4EE21C49" w14:textId="7A74E806" w:rsidR="00955971" w:rsidRPr="00E5237C" w:rsidRDefault="00E5237C" w:rsidP="00DE3A93">
      <w:pPr>
        <w:pStyle w:val="Heading2"/>
      </w:pPr>
      <w:bookmarkStart w:id="14" w:name="_Toc53041863"/>
      <w:r>
        <w:t>O</w:t>
      </w:r>
      <w:r w:rsidRPr="00E5237C">
        <w:t xml:space="preserve">ur commitment to </w:t>
      </w:r>
      <w:r w:rsidR="00272530">
        <w:t>a</w:t>
      </w:r>
      <w:r w:rsidRPr="00E5237C">
        <w:t xml:space="preserve">ccess and </w:t>
      </w:r>
      <w:r w:rsidR="00272530">
        <w:t>i</w:t>
      </w:r>
      <w:r w:rsidRPr="00E5237C">
        <w:t>nclusion</w:t>
      </w:r>
      <w:bookmarkEnd w:id="14"/>
    </w:p>
    <w:p w14:paraId="382E48D5" w14:textId="55C8F87F" w:rsidR="00CB2BD3" w:rsidRDefault="00A21105" w:rsidP="00F82A7E">
      <w:r>
        <w:t>W</w:t>
      </w:r>
      <w:r w:rsidR="009005D2">
        <w:t xml:space="preserve">ith lead responsibility for </w:t>
      </w:r>
      <w:r w:rsidR="004A35A9">
        <w:t xml:space="preserve">administering the </w:t>
      </w:r>
      <w:r w:rsidR="004A35A9">
        <w:rPr>
          <w:i/>
          <w:iCs/>
        </w:rPr>
        <w:t xml:space="preserve">Disability Inclusion Act 2018 </w:t>
      </w:r>
      <w:r w:rsidR="004A35A9">
        <w:t xml:space="preserve">(SA) and overseeing the implementation of </w:t>
      </w:r>
      <w:r w:rsidR="00C23021" w:rsidRPr="00291A33">
        <w:t>Inclusive SA</w:t>
      </w:r>
      <w:r w:rsidR="004A35A9">
        <w:t xml:space="preserve">, </w:t>
      </w:r>
      <w:r>
        <w:t>DHS</w:t>
      </w:r>
      <w:r w:rsidR="009005D2">
        <w:t xml:space="preserve"> </w:t>
      </w:r>
      <w:r w:rsidR="009B2AC8">
        <w:t>is</w:t>
      </w:r>
      <w:r w:rsidR="00120A28">
        <w:t xml:space="preserve"> </w:t>
      </w:r>
      <w:r w:rsidR="00515C8F">
        <w:t xml:space="preserve">committed to </w:t>
      </w:r>
      <w:r w:rsidR="009B2AC8">
        <w:t xml:space="preserve">providing </w:t>
      </w:r>
      <w:r w:rsidR="00D10254">
        <w:t xml:space="preserve">access and inclusion for </w:t>
      </w:r>
      <w:r w:rsidR="009005D2">
        <w:t xml:space="preserve">all South Australians </w:t>
      </w:r>
      <w:r w:rsidR="00D10254">
        <w:t>with disability</w:t>
      </w:r>
      <w:r w:rsidR="001C7BD7">
        <w:t xml:space="preserve"> through continuous improvement</w:t>
      </w:r>
      <w:r w:rsidR="00D10254">
        <w:t xml:space="preserve">. </w:t>
      </w:r>
    </w:p>
    <w:p w14:paraId="408C3494" w14:textId="1EF20B2B" w:rsidR="00054DD9" w:rsidRDefault="00C23021" w:rsidP="00F82A7E">
      <w:r>
        <w:t xml:space="preserve">DHS </w:t>
      </w:r>
      <w:r w:rsidR="007C2A00">
        <w:t>will integrate</w:t>
      </w:r>
      <w:r w:rsidR="005E21A1">
        <w:t xml:space="preserve">, where possible, disability access and inclusion planning </w:t>
      </w:r>
      <w:r w:rsidR="00A744CD">
        <w:t xml:space="preserve">with </w:t>
      </w:r>
      <w:r w:rsidR="00280FDD">
        <w:t xml:space="preserve">work and activity required under </w:t>
      </w:r>
      <w:r w:rsidR="00D37BF7">
        <w:t>ot</w:t>
      </w:r>
      <w:r w:rsidR="008A70DE">
        <w:t xml:space="preserve">her </w:t>
      </w:r>
      <w:r w:rsidR="00602D45">
        <w:t>relevant</w:t>
      </w:r>
      <w:r w:rsidR="007C2A00">
        <w:t xml:space="preserve"> strategies and frameworks</w:t>
      </w:r>
      <w:r w:rsidR="00D97A53">
        <w:t xml:space="preserve"> (including subsequent iterations of these plans and strategies)</w:t>
      </w:r>
      <w:r w:rsidR="007C2A00">
        <w:t xml:space="preserve">, including: </w:t>
      </w:r>
    </w:p>
    <w:p w14:paraId="5F84BF1B" w14:textId="73500AD7" w:rsidR="00DF7467" w:rsidRPr="00DF7467" w:rsidRDefault="00DF7467" w:rsidP="00602381">
      <w:pPr>
        <w:pStyle w:val="Bullet-Disc"/>
      </w:pPr>
      <w:r w:rsidRPr="00DF7467">
        <w:t>DHS Strategic Plan 2019</w:t>
      </w:r>
      <w:r w:rsidR="008A38A6">
        <w:t>–</w:t>
      </w:r>
      <w:r w:rsidRPr="00DF7467">
        <w:t>22</w:t>
      </w:r>
    </w:p>
    <w:p w14:paraId="02A449DA" w14:textId="45A01696" w:rsidR="00DF7467" w:rsidRPr="00DF7467" w:rsidRDefault="00DF7467" w:rsidP="00602381">
      <w:pPr>
        <w:pStyle w:val="Bullet-Disc"/>
      </w:pPr>
      <w:r w:rsidRPr="00DF7467">
        <w:t>DHS Diversity and Inclusion Strategy 2017</w:t>
      </w:r>
      <w:r w:rsidR="008A38A6">
        <w:t>–</w:t>
      </w:r>
      <w:r w:rsidRPr="00DF7467">
        <w:t>2020</w:t>
      </w:r>
    </w:p>
    <w:p w14:paraId="73B1D7E8" w14:textId="78650EEC" w:rsidR="00DF7467" w:rsidRPr="00DF7467" w:rsidRDefault="00DF7467" w:rsidP="00602381">
      <w:pPr>
        <w:pStyle w:val="Bullet-Disc"/>
      </w:pPr>
      <w:r w:rsidRPr="00DF7467">
        <w:t>Reconciliation Action Plan</w:t>
      </w:r>
      <w:r w:rsidR="00F3422F">
        <w:t xml:space="preserve"> 2018</w:t>
      </w:r>
      <w:r w:rsidR="008A38A6">
        <w:t>–</w:t>
      </w:r>
      <w:r w:rsidR="00F3422F">
        <w:t>2020</w:t>
      </w:r>
    </w:p>
    <w:p w14:paraId="5A7E3254" w14:textId="3BC90C2F" w:rsidR="00691A8B" w:rsidRDefault="00691A8B" w:rsidP="00602381">
      <w:pPr>
        <w:pStyle w:val="Bullet-Disc"/>
      </w:pPr>
      <w:r>
        <w:t xml:space="preserve">Accommodation Services Strategic Plan </w:t>
      </w:r>
      <w:r w:rsidR="00740347">
        <w:t>2019</w:t>
      </w:r>
      <w:r w:rsidR="008A38A6">
        <w:t>–</w:t>
      </w:r>
      <w:r w:rsidR="00740347">
        <w:t>2020</w:t>
      </w:r>
    </w:p>
    <w:p w14:paraId="08B4C377" w14:textId="352C62E2" w:rsidR="00DF7467" w:rsidRDefault="00DF7467" w:rsidP="00602381">
      <w:pPr>
        <w:pStyle w:val="Bullet-Disc"/>
      </w:pPr>
      <w:r w:rsidRPr="00DF7467">
        <w:t>SA Youth Action Plan 2020</w:t>
      </w:r>
      <w:r w:rsidR="008A38A6">
        <w:t>–</w:t>
      </w:r>
      <w:r w:rsidRPr="00DF7467">
        <w:t>2022</w:t>
      </w:r>
    </w:p>
    <w:p w14:paraId="5151A971" w14:textId="0B024DAF" w:rsidR="003326FA" w:rsidRDefault="003326FA" w:rsidP="00602381">
      <w:pPr>
        <w:pStyle w:val="Bullet-Disc"/>
      </w:pPr>
      <w:r>
        <w:t>Young People Connected, Communities Protected: South Australia’s Youth Justice State Plan 2020</w:t>
      </w:r>
      <w:r w:rsidR="008A38A6">
        <w:t>–</w:t>
      </w:r>
      <w:r w:rsidR="00F3422F">
        <w:t>20</w:t>
      </w:r>
      <w:r>
        <w:t xml:space="preserve">23 </w:t>
      </w:r>
    </w:p>
    <w:p w14:paraId="15496339" w14:textId="0003EC04" w:rsidR="00BD5A38" w:rsidRPr="00DF7467" w:rsidRDefault="00BD5A38" w:rsidP="00602381">
      <w:pPr>
        <w:pStyle w:val="Bullet-Disc"/>
      </w:pPr>
      <w:r>
        <w:t>Committed to Safety: A framework to address domestic, family and sexual violence in South Australia</w:t>
      </w:r>
    </w:p>
    <w:p w14:paraId="575472D5" w14:textId="04E95159" w:rsidR="002C3A5E" w:rsidRDefault="006E3E3C" w:rsidP="00602381">
      <w:pPr>
        <w:pStyle w:val="Bullet-Disc"/>
      </w:pPr>
      <w:r>
        <w:t>An Intensive Support System for South Australia’s children and families (March 2019),</w:t>
      </w:r>
      <w:r w:rsidR="00D15E39">
        <w:t xml:space="preserve"> Early Intervention Research Directorate System Reform Strategy</w:t>
      </w:r>
      <w:r w:rsidR="00EC0CB1">
        <w:t>.</w:t>
      </w:r>
    </w:p>
    <w:p w14:paraId="2B56FAD9" w14:textId="77777777" w:rsidR="00865BF9" w:rsidRDefault="00865BF9" w:rsidP="00DE3A93">
      <w:pPr>
        <w:pStyle w:val="Heading2"/>
      </w:pPr>
      <w:bookmarkStart w:id="15" w:name="_Toc53041864"/>
      <w:r>
        <w:t>Disability defined</w:t>
      </w:r>
      <w:bookmarkEnd w:id="15"/>
    </w:p>
    <w:p w14:paraId="42E230BF" w14:textId="77777777" w:rsidR="00865BF9" w:rsidRDefault="00865BF9" w:rsidP="00F82A7E">
      <w:r w:rsidRPr="00840A9D">
        <w:t xml:space="preserve">The </w:t>
      </w:r>
      <w:r w:rsidRPr="00840A9D">
        <w:rPr>
          <w:i/>
          <w:iCs/>
        </w:rPr>
        <w:t>Disability Inclusion Act 2018</w:t>
      </w:r>
      <w:r w:rsidRPr="00840A9D">
        <w:t xml:space="preserve"> </w:t>
      </w:r>
      <w:r>
        <w:t>(SA) defines disability in relation to a person as including long-term physical, psycho-social, intellectual, cognitive, neurological or sensory impairment, or a combination of any of these impairments, which in interaction with various barriers may hinder the person’s full and effective participation in society on an equal basis with others.</w:t>
      </w:r>
    </w:p>
    <w:p w14:paraId="5BDB12C6" w14:textId="66A75197" w:rsidR="007F474F" w:rsidRPr="00E5237C" w:rsidRDefault="007F474F" w:rsidP="00DE3A93">
      <w:pPr>
        <w:pStyle w:val="Heading2"/>
      </w:pPr>
      <w:bookmarkStart w:id="16" w:name="_Toc53041865"/>
      <w:r>
        <w:lastRenderedPageBreak/>
        <w:t>Consultation</w:t>
      </w:r>
      <w:bookmarkEnd w:id="16"/>
      <w:r>
        <w:t xml:space="preserve"> </w:t>
      </w:r>
    </w:p>
    <w:p w14:paraId="063D23CD" w14:textId="441ED158" w:rsidR="00372EFC" w:rsidRPr="00372EFC" w:rsidRDefault="00CC6E1B" w:rsidP="00F82A7E">
      <w:r>
        <w:t xml:space="preserve">Public </w:t>
      </w:r>
      <w:r w:rsidR="00372EFC" w:rsidRPr="00372EFC">
        <w:t xml:space="preserve">consultation on </w:t>
      </w:r>
      <w:r w:rsidR="00892DF3">
        <w:t>our</w:t>
      </w:r>
      <w:r w:rsidR="00372EFC" w:rsidRPr="00372EFC">
        <w:t xml:space="preserve"> draft DAIP was open from 20 July to 4 September 2020. Approximately 175 individuals and organisations engaged in the process and provided feedback.</w:t>
      </w:r>
      <w:r w:rsidR="00120A28">
        <w:t xml:space="preserve"> </w:t>
      </w:r>
    </w:p>
    <w:p w14:paraId="75CF1DB1" w14:textId="39D19733" w:rsidR="00372EFC" w:rsidRPr="00372EFC" w:rsidRDefault="00372EFC" w:rsidP="00F82A7E">
      <w:r w:rsidRPr="00372EFC">
        <w:t xml:space="preserve">During the consultation period, the DHS website hosted a dedicated webpage for </w:t>
      </w:r>
      <w:r w:rsidR="00892DF3">
        <w:t>our</w:t>
      </w:r>
      <w:r w:rsidRPr="00372EFC">
        <w:t xml:space="preserve"> draft DAIP </w:t>
      </w:r>
      <w:r w:rsidR="00892DF3">
        <w:t>that</w:t>
      </w:r>
      <w:r w:rsidRPr="00372EFC">
        <w:t xml:space="preserve"> included: </w:t>
      </w:r>
    </w:p>
    <w:p w14:paraId="25B2FB46" w14:textId="1CD85D9A" w:rsidR="00372EFC" w:rsidRPr="00372EFC" w:rsidRDefault="00D746BE" w:rsidP="00602381">
      <w:pPr>
        <w:pStyle w:val="Bullet-Disc"/>
      </w:pPr>
      <w:r>
        <w:t>t</w:t>
      </w:r>
      <w:r w:rsidR="00372EFC" w:rsidRPr="00372EFC">
        <w:t>he draft DHS DAIP in accessible formats</w:t>
      </w:r>
      <w:r w:rsidR="008A38A6">
        <w:t xml:space="preserve">, </w:t>
      </w:r>
      <w:r w:rsidR="00892DF3">
        <w:t>for example</w:t>
      </w:r>
      <w:r w:rsidR="009B5269" w:rsidRPr="00372EFC">
        <w:t xml:space="preserve"> </w:t>
      </w:r>
      <w:r w:rsidR="00372EFC" w:rsidRPr="00372EFC">
        <w:t xml:space="preserve">HTML and </w:t>
      </w:r>
      <w:r w:rsidR="00122E9D">
        <w:t>easy read</w:t>
      </w:r>
    </w:p>
    <w:p w14:paraId="5E5E7C87" w14:textId="7099012D" w:rsidR="00372EFC" w:rsidRPr="00372EFC" w:rsidRDefault="00D746BE" w:rsidP="00602381">
      <w:pPr>
        <w:pStyle w:val="Bullet-Disc"/>
      </w:pPr>
      <w:r>
        <w:t>i</w:t>
      </w:r>
      <w:r w:rsidR="00372EFC" w:rsidRPr="00372EFC">
        <w:t>nformation about the various feedback options including written submission, survey, telephone or face</w:t>
      </w:r>
      <w:r w:rsidR="008A38A6">
        <w:t>-</w:t>
      </w:r>
      <w:r w:rsidR="00372EFC" w:rsidRPr="00372EFC">
        <w:t>t</w:t>
      </w:r>
      <w:r w:rsidR="00CC6E1B">
        <w:t>o</w:t>
      </w:r>
      <w:r w:rsidR="008A38A6">
        <w:t>-</w:t>
      </w:r>
      <w:r w:rsidR="00CC6E1B">
        <w:t>face meetings</w:t>
      </w:r>
    </w:p>
    <w:p w14:paraId="69DC278C" w14:textId="0EA2F4B7" w:rsidR="00372EFC" w:rsidRPr="00372EFC" w:rsidRDefault="00D746BE" w:rsidP="00602381">
      <w:pPr>
        <w:pStyle w:val="Bullet-Disc"/>
      </w:pPr>
      <w:r>
        <w:t>a</w:t>
      </w:r>
      <w:r w:rsidR="00372EFC" w:rsidRPr="00372EFC">
        <w:t xml:space="preserve">n online survey and </w:t>
      </w:r>
      <w:r w:rsidR="00A47C45">
        <w:t xml:space="preserve">an </w:t>
      </w:r>
      <w:r w:rsidR="00122E9D">
        <w:t>easy read</w:t>
      </w:r>
      <w:r w:rsidR="00372EFC" w:rsidRPr="00372EFC">
        <w:t xml:space="preserve"> survey</w:t>
      </w:r>
    </w:p>
    <w:p w14:paraId="3DE62444" w14:textId="6A2D9BA4" w:rsidR="00372EFC" w:rsidRPr="00372EFC" w:rsidRDefault="00D746BE" w:rsidP="00602381">
      <w:pPr>
        <w:pStyle w:val="Bullet-Disc"/>
      </w:pPr>
      <w:r>
        <w:t>p</w:t>
      </w:r>
      <w:r w:rsidR="00372EFC" w:rsidRPr="00372EFC">
        <w:t xml:space="preserve">rintable formats. </w:t>
      </w:r>
    </w:p>
    <w:p w14:paraId="407D4877" w14:textId="510C17C5" w:rsidR="00027E36" w:rsidRDefault="00027E36" w:rsidP="00F82A7E">
      <w:r>
        <w:t xml:space="preserve">The </w:t>
      </w:r>
      <w:r w:rsidR="00DF6E49">
        <w:t xml:space="preserve">public </w:t>
      </w:r>
      <w:r>
        <w:t>consultation was promoted</w:t>
      </w:r>
      <w:r w:rsidR="001748F5">
        <w:t xml:space="preserve"> a number of ways including</w:t>
      </w:r>
      <w:r w:rsidR="008A38A6">
        <w:t>:</w:t>
      </w:r>
    </w:p>
    <w:p w14:paraId="3FD213F1" w14:textId="4E3BB72A" w:rsidR="00027E36" w:rsidRDefault="006F29B3" w:rsidP="00602381">
      <w:pPr>
        <w:pStyle w:val="Bullet-Disc"/>
      </w:pPr>
      <w:r>
        <w:t xml:space="preserve">DHS </w:t>
      </w:r>
      <w:r w:rsidR="00027E36">
        <w:t xml:space="preserve">social media through </w:t>
      </w:r>
      <w:r w:rsidR="00B35117">
        <w:t>Facebook</w:t>
      </w:r>
      <w:r w:rsidR="00027E36">
        <w:t xml:space="preserve">, </w:t>
      </w:r>
      <w:r w:rsidR="00B35117">
        <w:t>Instagram</w:t>
      </w:r>
      <w:r w:rsidR="00027E36">
        <w:t xml:space="preserve"> </w:t>
      </w:r>
      <w:r w:rsidR="00B35117">
        <w:t>and T</w:t>
      </w:r>
      <w:r w:rsidR="00027E36">
        <w:t>witter</w:t>
      </w:r>
    </w:p>
    <w:p w14:paraId="3C800AA0" w14:textId="360130F2" w:rsidR="00B35117" w:rsidRDefault="00D746BE" w:rsidP="00602381">
      <w:pPr>
        <w:pStyle w:val="Bullet-Disc"/>
      </w:pPr>
      <w:r>
        <w:t>n</w:t>
      </w:r>
      <w:r w:rsidR="00B35117" w:rsidRPr="00B35117">
        <w:t>ewsletter</w:t>
      </w:r>
      <w:r w:rsidR="009B5269">
        <w:t xml:space="preserve"> emailed</w:t>
      </w:r>
      <w:r w:rsidR="00B35117" w:rsidRPr="00B35117">
        <w:t xml:space="preserve"> to Accommodation Services</w:t>
      </w:r>
      <w:r w:rsidR="009B5269">
        <w:t>’</w:t>
      </w:r>
      <w:r w:rsidR="00B35117" w:rsidRPr="00B35117">
        <w:t xml:space="preserve"> clients, families and carers</w:t>
      </w:r>
    </w:p>
    <w:p w14:paraId="281E96E0" w14:textId="7C86557E" w:rsidR="00B35117" w:rsidRDefault="00B35117" w:rsidP="00602381">
      <w:pPr>
        <w:pStyle w:val="Bullet-Disc"/>
      </w:pPr>
      <w:r>
        <w:t>DHS news article</w:t>
      </w:r>
    </w:p>
    <w:p w14:paraId="1CE4B27C" w14:textId="5885FDBB" w:rsidR="00B35117" w:rsidRPr="00B35117" w:rsidRDefault="00B35117" w:rsidP="00602381">
      <w:pPr>
        <w:pStyle w:val="Bullet-Disc"/>
      </w:pPr>
      <w:r>
        <w:t>DHS</w:t>
      </w:r>
      <w:r w:rsidR="00730CB3">
        <w:t xml:space="preserve"> </w:t>
      </w:r>
      <w:r>
        <w:t xml:space="preserve">Chief Executive newsletter to </w:t>
      </w:r>
      <w:r w:rsidR="00C23021">
        <w:t xml:space="preserve">the non-government </w:t>
      </w:r>
      <w:r>
        <w:t>sector</w:t>
      </w:r>
    </w:p>
    <w:p w14:paraId="7BB22BF1" w14:textId="430C8026" w:rsidR="006F29B3" w:rsidRDefault="00D746BE" w:rsidP="00602381">
      <w:pPr>
        <w:pStyle w:val="Bullet-Disc"/>
      </w:pPr>
      <w:r>
        <w:t>w</w:t>
      </w:r>
      <w:r w:rsidR="00892DF3" w:rsidRPr="00027E36">
        <w:t xml:space="preserve">eb banners and </w:t>
      </w:r>
      <w:r w:rsidR="001748F5">
        <w:t xml:space="preserve">email </w:t>
      </w:r>
      <w:r w:rsidR="001748F5" w:rsidRPr="00027E36">
        <w:t xml:space="preserve">signature </w:t>
      </w:r>
      <w:r w:rsidR="001748F5">
        <w:t>graphic blocks</w:t>
      </w:r>
    </w:p>
    <w:p w14:paraId="065A3E53" w14:textId="11CBBF7F" w:rsidR="006F29B3" w:rsidRDefault="00D746BE" w:rsidP="00602381">
      <w:pPr>
        <w:pStyle w:val="Bullet-Disc"/>
      </w:pPr>
      <w:r>
        <w:t>v</w:t>
      </w:r>
      <w:r w:rsidR="00892DF3">
        <w:t>ia the</w:t>
      </w:r>
      <w:r w:rsidR="006F29B3" w:rsidRPr="006F29B3">
        <w:t xml:space="preserve"> </w:t>
      </w:r>
      <w:r w:rsidR="00892DF3" w:rsidRPr="00372EFC">
        <w:t>disability engagement group</w:t>
      </w:r>
      <w:r w:rsidR="006F29B3">
        <w:t>, and</w:t>
      </w:r>
    </w:p>
    <w:p w14:paraId="6990ADD4" w14:textId="0FF94F44" w:rsidR="001748F5" w:rsidRDefault="00D746BE" w:rsidP="00602381">
      <w:pPr>
        <w:pStyle w:val="Bullet-Disc"/>
      </w:pPr>
      <w:r>
        <w:t>p</w:t>
      </w:r>
      <w:r w:rsidR="00892DF3">
        <w:t>romot</w:t>
      </w:r>
      <w:r w:rsidR="009B5269">
        <w:t>ion</w:t>
      </w:r>
      <w:r w:rsidR="006F29B3">
        <w:t xml:space="preserve"> </w:t>
      </w:r>
      <w:r w:rsidR="009B5269">
        <w:t>on</w:t>
      </w:r>
      <w:r w:rsidR="006F29B3">
        <w:t xml:space="preserve"> the </w:t>
      </w:r>
      <w:proofErr w:type="spellStart"/>
      <w:r w:rsidR="003C0B17">
        <w:t>Y</w:t>
      </w:r>
      <w:r w:rsidR="00892DF3" w:rsidRPr="00372EFC">
        <w:t>our</w:t>
      </w:r>
      <w:r w:rsidR="003C0B17">
        <w:t>S</w:t>
      </w:r>
      <w:r w:rsidR="00892DF3" w:rsidRPr="00372EFC">
        <w:t>ay</w:t>
      </w:r>
      <w:proofErr w:type="spellEnd"/>
      <w:r w:rsidR="00892DF3" w:rsidRPr="00372EFC">
        <w:t xml:space="preserve"> website</w:t>
      </w:r>
      <w:r w:rsidR="00C23021">
        <w:t>.</w:t>
      </w:r>
      <w:r w:rsidR="001748F5" w:rsidRPr="00027E36">
        <w:t xml:space="preserve"> </w:t>
      </w:r>
    </w:p>
    <w:p w14:paraId="375E8DFE" w14:textId="2522FAAE" w:rsidR="009B5269" w:rsidRDefault="00DF6E49" w:rsidP="00F82A7E">
      <w:r w:rsidRPr="00372EFC">
        <w:t>D</w:t>
      </w:r>
      <w:r w:rsidR="00892DF3">
        <w:t>HS</w:t>
      </w:r>
      <w:r w:rsidRPr="00372EFC">
        <w:t xml:space="preserve"> </w:t>
      </w:r>
      <w:r>
        <w:t xml:space="preserve">also </w:t>
      </w:r>
      <w:r w:rsidRPr="00372EFC">
        <w:t>contacted several organisations and community groups to promote the public consultation period through their existing networks to reach a broader audience.</w:t>
      </w:r>
      <w:r>
        <w:t xml:space="preserve"> </w:t>
      </w:r>
    </w:p>
    <w:p w14:paraId="169524F1" w14:textId="77777777" w:rsidR="00BA4732" w:rsidRDefault="00372EFC" w:rsidP="00F82A7E">
      <w:pPr>
        <w:rPr>
          <w:lang w:val="en-US"/>
        </w:rPr>
      </w:pPr>
      <w:r w:rsidRPr="00372EFC">
        <w:t xml:space="preserve">Feedback </w:t>
      </w:r>
      <w:r w:rsidR="001748F5">
        <w:t xml:space="preserve">on the draft DAIP </w:t>
      </w:r>
      <w:r w:rsidRPr="00372EFC">
        <w:t xml:space="preserve">was </w:t>
      </w:r>
      <w:r w:rsidR="00027E36">
        <w:t>collected</w:t>
      </w:r>
      <w:r w:rsidRPr="00372EFC">
        <w:t xml:space="preserve"> in a variety of </w:t>
      </w:r>
      <w:r>
        <w:t>ways</w:t>
      </w:r>
      <w:r w:rsidR="00027E36">
        <w:t>, including</w:t>
      </w:r>
      <w:r w:rsidR="00BA4732">
        <w:rPr>
          <w:lang w:val="en-US"/>
        </w:rPr>
        <w:t>:</w:t>
      </w:r>
    </w:p>
    <w:p w14:paraId="0ED4D4C7" w14:textId="280F4D6C" w:rsidR="00BA4732" w:rsidRDefault="00466319" w:rsidP="00BA4732">
      <w:pPr>
        <w:pStyle w:val="Bullet-Disc"/>
        <w:rPr>
          <w:lang w:val="en-US"/>
        </w:rPr>
      </w:pPr>
      <w:r>
        <w:rPr>
          <w:lang w:val="en-US"/>
        </w:rPr>
        <w:t>o</w:t>
      </w:r>
      <w:r w:rsidR="00892DF3">
        <w:rPr>
          <w:lang w:val="en-US"/>
        </w:rPr>
        <w:t>nline survey</w:t>
      </w:r>
    </w:p>
    <w:p w14:paraId="35C1E241" w14:textId="44981C39" w:rsidR="00BA4732" w:rsidRDefault="00122E9D" w:rsidP="00BA4732">
      <w:pPr>
        <w:pStyle w:val="Bullet-Disc"/>
        <w:rPr>
          <w:lang w:val="en-US"/>
        </w:rPr>
      </w:pPr>
      <w:r>
        <w:t>easy read</w:t>
      </w:r>
      <w:r w:rsidR="00027E36">
        <w:rPr>
          <w:lang w:val="en-US"/>
        </w:rPr>
        <w:t xml:space="preserve"> survey</w:t>
      </w:r>
    </w:p>
    <w:p w14:paraId="25D18D68" w14:textId="6EC0B6DB" w:rsidR="00BA4732" w:rsidRDefault="00466319" w:rsidP="00BA4732">
      <w:pPr>
        <w:pStyle w:val="Bullet-Disc"/>
        <w:rPr>
          <w:lang w:val="en-US"/>
        </w:rPr>
      </w:pPr>
      <w:r>
        <w:t>e</w:t>
      </w:r>
      <w:r w:rsidR="00372EFC" w:rsidRPr="00372EFC">
        <w:rPr>
          <w:lang w:val="en-US"/>
        </w:rPr>
        <w:t>mail submissions and</w:t>
      </w:r>
      <w:r w:rsidR="00BA4732">
        <w:rPr>
          <w:lang w:val="en-US"/>
        </w:rPr>
        <w:t xml:space="preserve"> </w:t>
      </w:r>
      <w:r w:rsidR="00372EFC" w:rsidRPr="00372EFC">
        <w:rPr>
          <w:lang w:val="en-US"/>
        </w:rPr>
        <w:t>phone call</w:t>
      </w:r>
      <w:r w:rsidR="00027E36">
        <w:rPr>
          <w:lang w:val="en-US"/>
        </w:rPr>
        <w:t>s</w:t>
      </w:r>
      <w:r w:rsidR="00372EFC" w:rsidRPr="00372EFC">
        <w:rPr>
          <w:lang w:val="en-US"/>
        </w:rPr>
        <w:t xml:space="preserve"> from </w:t>
      </w:r>
      <w:r w:rsidR="00027E36">
        <w:rPr>
          <w:lang w:val="en-US"/>
        </w:rPr>
        <w:t>members of the public</w:t>
      </w:r>
    </w:p>
    <w:p w14:paraId="59CA4DBE" w14:textId="490CB101" w:rsidR="00BA4732" w:rsidRDefault="00466319" w:rsidP="00BA4732">
      <w:pPr>
        <w:pStyle w:val="Bullet-Disc"/>
        <w:rPr>
          <w:lang w:val="en-US"/>
        </w:rPr>
      </w:pPr>
      <w:r>
        <w:rPr>
          <w:lang w:val="en-US"/>
        </w:rPr>
        <w:t>d</w:t>
      </w:r>
      <w:r w:rsidR="00372EFC" w:rsidRPr="00372EFC">
        <w:rPr>
          <w:lang w:val="en-US"/>
        </w:rPr>
        <w:t>etailed written submissions and emails from the disability and community sector</w:t>
      </w:r>
      <w:r w:rsidR="00027E36">
        <w:rPr>
          <w:lang w:val="en-US"/>
        </w:rPr>
        <w:t>.</w:t>
      </w:r>
    </w:p>
    <w:p w14:paraId="4CDC3473" w14:textId="460F7362" w:rsidR="00372EFC" w:rsidRDefault="00CC6E1B" w:rsidP="00F82A7E">
      <w:r>
        <w:t>All f</w:t>
      </w:r>
      <w:r w:rsidR="00372EFC" w:rsidRPr="00372EFC">
        <w:t xml:space="preserve">eedback was collated and </w:t>
      </w:r>
      <w:r>
        <w:t xml:space="preserve">analysed </w:t>
      </w:r>
      <w:r w:rsidR="00372EFC" w:rsidRPr="00372EFC">
        <w:t>to identify common themes, priorities and gaps</w:t>
      </w:r>
      <w:r w:rsidR="00865BF9">
        <w:t>.</w:t>
      </w:r>
      <w:r w:rsidR="00372EFC" w:rsidRPr="00372EFC">
        <w:t xml:space="preserve"> </w:t>
      </w:r>
    </w:p>
    <w:p w14:paraId="130B4184" w14:textId="192DBB8F" w:rsidR="00725BC4" w:rsidRDefault="00865BF9" w:rsidP="00F82A7E">
      <w:pPr>
        <w:rPr>
          <w:rFonts w:eastAsia="Arial"/>
          <w:b/>
          <w:sz w:val="28"/>
          <w:szCs w:val="28"/>
        </w:rPr>
      </w:pPr>
      <w:r>
        <w:t xml:space="preserve">Most </w:t>
      </w:r>
      <w:r w:rsidR="00CC6E1B">
        <w:t>responses received from the public consultation have been include</w:t>
      </w:r>
      <w:r w:rsidR="00DF6E49">
        <w:t>d</w:t>
      </w:r>
      <w:r w:rsidR="00CC6E1B">
        <w:t xml:space="preserve"> in </w:t>
      </w:r>
      <w:r w:rsidR="00892DF3">
        <w:t>our</w:t>
      </w:r>
      <w:r w:rsidR="00CC6E1B">
        <w:t xml:space="preserve"> final DAIP. </w:t>
      </w:r>
      <w:r w:rsidR="00DF6E49">
        <w:t xml:space="preserve">Furthermore, some feedback will be </w:t>
      </w:r>
      <w:r w:rsidR="00CC6E1B">
        <w:t xml:space="preserve">incorporated and </w:t>
      </w:r>
      <w:r w:rsidR="00DF6E49">
        <w:t xml:space="preserve">built </w:t>
      </w:r>
      <w:r w:rsidR="00CC6E1B">
        <w:t xml:space="preserve">into the </w:t>
      </w:r>
      <w:r w:rsidR="00DF6E49">
        <w:t xml:space="preserve">everyday </w:t>
      </w:r>
      <w:r w:rsidR="00CC6E1B">
        <w:t>work</w:t>
      </w:r>
      <w:r w:rsidR="009B5269">
        <w:t xml:space="preserve"> of</w:t>
      </w:r>
      <w:r w:rsidR="00CC6E1B">
        <w:t xml:space="preserve"> the </w:t>
      </w:r>
      <w:r w:rsidR="00DF6E49">
        <w:t>department</w:t>
      </w:r>
      <w:r w:rsidR="00CC6E1B">
        <w:t>, rather than a</w:t>
      </w:r>
      <w:r w:rsidR="00DF6E49">
        <w:t xml:space="preserve"> </w:t>
      </w:r>
      <w:r w:rsidR="00CC6E1B">
        <w:t>DAIP action</w:t>
      </w:r>
      <w:r w:rsidR="009B5269">
        <w:t xml:space="preserve"> as</w:t>
      </w:r>
      <w:r w:rsidR="00A34763">
        <w:t xml:space="preserve"> further investigation is required to inform</w:t>
      </w:r>
      <w:r w:rsidR="00BA4732">
        <w:t xml:space="preserve"> the</w:t>
      </w:r>
      <w:r w:rsidR="00A34763">
        <w:t xml:space="preserve"> next iteration.</w:t>
      </w:r>
    </w:p>
    <w:p w14:paraId="548717EA" w14:textId="20120C36" w:rsidR="007F429B" w:rsidRPr="00D2626A" w:rsidRDefault="00827783" w:rsidP="00DE3A93">
      <w:pPr>
        <w:pStyle w:val="Heading3"/>
      </w:pPr>
      <w:bookmarkStart w:id="17" w:name="_Toc53041866"/>
      <w:r w:rsidRPr="00D2626A">
        <w:t xml:space="preserve">Survey </w:t>
      </w:r>
      <w:r w:rsidR="00FB5E69" w:rsidRPr="00D2626A">
        <w:t>r</w:t>
      </w:r>
      <w:r w:rsidR="003B5C78" w:rsidRPr="00D2626A">
        <w:t>espondents</w:t>
      </w:r>
      <w:bookmarkEnd w:id="17"/>
    </w:p>
    <w:p w14:paraId="66BBCDAE" w14:textId="69E20EAB" w:rsidR="007F429B" w:rsidRPr="00602381" w:rsidRDefault="00DE3A93" w:rsidP="00602381">
      <w:pPr>
        <w:pStyle w:val="Bullet-Disc"/>
        <w:rPr>
          <w:rStyle w:val="eop"/>
        </w:rPr>
      </w:pPr>
      <w:r>
        <w:rPr>
          <w:rStyle w:val="eop"/>
        </w:rPr>
        <w:t>R</w:t>
      </w:r>
      <w:r w:rsidR="00372EFC" w:rsidRPr="00602381">
        <w:rPr>
          <w:rStyle w:val="eop"/>
        </w:rPr>
        <w:t xml:space="preserve">espondents </w:t>
      </w:r>
      <w:r w:rsidR="00E83A01">
        <w:rPr>
          <w:rStyle w:val="eop"/>
        </w:rPr>
        <w:t xml:space="preserve">who </w:t>
      </w:r>
      <w:r w:rsidR="00372EFC" w:rsidRPr="00602381">
        <w:rPr>
          <w:rStyle w:val="eop"/>
        </w:rPr>
        <w:t>identified as Aboriginal and/or Torres Strait Islander</w:t>
      </w:r>
      <w:r w:rsidR="008A38A6" w:rsidRPr="00602381">
        <w:rPr>
          <w:rStyle w:val="eop"/>
        </w:rPr>
        <w:t xml:space="preserve"> people</w:t>
      </w:r>
      <w:r w:rsidR="00E83A01">
        <w:rPr>
          <w:rStyle w:val="eop"/>
        </w:rPr>
        <w:t xml:space="preserve">: </w:t>
      </w:r>
      <w:r w:rsidR="00E83A01" w:rsidRPr="00602381">
        <w:rPr>
          <w:rStyle w:val="eop"/>
        </w:rPr>
        <w:t>8</w:t>
      </w:r>
      <w:r w:rsidR="004A4260">
        <w:rPr>
          <w:rStyle w:val="eop"/>
        </w:rPr>
        <w:t xml:space="preserve"> percent</w:t>
      </w:r>
    </w:p>
    <w:p w14:paraId="7EF0C6EB" w14:textId="64984FE9" w:rsidR="00372EFC" w:rsidRPr="00602381" w:rsidRDefault="00DE3A93" w:rsidP="00602381">
      <w:pPr>
        <w:pStyle w:val="Bullet-Disc"/>
        <w:rPr>
          <w:rStyle w:val="eop"/>
        </w:rPr>
      </w:pPr>
      <w:r>
        <w:rPr>
          <w:rStyle w:val="eop"/>
        </w:rPr>
        <w:t>R</w:t>
      </w:r>
      <w:r w:rsidR="00E83A01" w:rsidRPr="00602381">
        <w:rPr>
          <w:rStyle w:val="eop"/>
        </w:rPr>
        <w:t xml:space="preserve">espondents </w:t>
      </w:r>
      <w:r w:rsidR="00E83A01">
        <w:rPr>
          <w:rStyle w:val="eop"/>
        </w:rPr>
        <w:t>who</w:t>
      </w:r>
      <w:r w:rsidR="00E83A01" w:rsidRPr="00602381">
        <w:rPr>
          <w:rStyle w:val="eop"/>
        </w:rPr>
        <w:t xml:space="preserve"> </w:t>
      </w:r>
      <w:r w:rsidR="007F429B" w:rsidRPr="00602381">
        <w:rPr>
          <w:rStyle w:val="eop"/>
        </w:rPr>
        <w:t>identified as Culturally and Linguistically Diverse</w:t>
      </w:r>
      <w:r w:rsidR="00E83A01">
        <w:rPr>
          <w:rStyle w:val="eop"/>
        </w:rPr>
        <w:t>: 8</w:t>
      </w:r>
      <w:r w:rsidR="004A4260">
        <w:rPr>
          <w:rStyle w:val="eop"/>
        </w:rPr>
        <w:t xml:space="preserve"> percent</w:t>
      </w:r>
    </w:p>
    <w:p w14:paraId="451DC9D7" w14:textId="7706A1D4" w:rsidR="008A38A6" w:rsidRPr="00602381" w:rsidRDefault="00DE3A93" w:rsidP="00602381">
      <w:pPr>
        <w:pStyle w:val="Bullet-Disc"/>
        <w:rPr>
          <w:rStyle w:val="eop"/>
        </w:rPr>
      </w:pPr>
      <w:r>
        <w:rPr>
          <w:rStyle w:val="eop"/>
        </w:rPr>
        <w:t>R</w:t>
      </w:r>
      <w:r w:rsidR="008A38A6" w:rsidRPr="00602381">
        <w:rPr>
          <w:rStyle w:val="eop"/>
        </w:rPr>
        <w:t>espondents</w:t>
      </w:r>
      <w:r w:rsidR="00E83A01">
        <w:rPr>
          <w:rStyle w:val="eop"/>
        </w:rPr>
        <w:t xml:space="preserve"> who</w:t>
      </w:r>
      <w:r w:rsidR="008A38A6" w:rsidRPr="00602381">
        <w:rPr>
          <w:rStyle w:val="eop"/>
        </w:rPr>
        <w:t xml:space="preserve"> </w:t>
      </w:r>
      <w:r w:rsidR="007F429B" w:rsidRPr="00602381">
        <w:rPr>
          <w:rStyle w:val="eop"/>
        </w:rPr>
        <w:t>identified as being a person living with disability</w:t>
      </w:r>
      <w:r w:rsidR="00E83A01">
        <w:rPr>
          <w:rStyle w:val="eop"/>
        </w:rPr>
        <w:t>:</w:t>
      </w:r>
      <w:r w:rsidR="00E83A01" w:rsidRPr="00E83A01">
        <w:rPr>
          <w:rStyle w:val="eop"/>
        </w:rPr>
        <w:t xml:space="preserve"> </w:t>
      </w:r>
      <w:r w:rsidR="00E83A01" w:rsidRPr="00602381">
        <w:rPr>
          <w:rStyle w:val="eop"/>
        </w:rPr>
        <w:t>34</w:t>
      </w:r>
      <w:r w:rsidR="004A4260">
        <w:rPr>
          <w:rStyle w:val="eop"/>
        </w:rPr>
        <w:t xml:space="preserve"> percent</w:t>
      </w:r>
    </w:p>
    <w:p w14:paraId="7889A94C" w14:textId="17353544" w:rsidR="0036500B" w:rsidRDefault="00DE3A93" w:rsidP="00602381">
      <w:pPr>
        <w:pStyle w:val="Bullet-Disc"/>
        <w:rPr>
          <w:rStyle w:val="eop"/>
        </w:rPr>
      </w:pPr>
      <w:r>
        <w:rPr>
          <w:rStyle w:val="eop"/>
        </w:rPr>
        <w:lastRenderedPageBreak/>
        <w:t>R</w:t>
      </w:r>
      <w:r w:rsidR="008A38A6" w:rsidRPr="00602381">
        <w:rPr>
          <w:rStyle w:val="eop"/>
        </w:rPr>
        <w:t>espondents</w:t>
      </w:r>
      <w:r w:rsidR="00E83A01">
        <w:rPr>
          <w:rStyle w:val="eop"/>
        </w:rPr>
        <w:t xml:space="preserve"> who</w:t>
      </w:r>
      <w:r w:rsidR="008A38A6" w:rsidRPr="00602381">
        <w:rPr>
          <w:rStyle w:val="eop"/>
        </w:rPr>
        <w:t xml:space="preserve"> </w:t>
      </w:r>
      <w:r w:rsidR="007F429B" w:rsidRPr="00602381">
        <w:rPr>
          <w:rStyle w:val="eop"/>
        </w:rPr>
        <w:t>identified as being a family member of a person living with disability</w:t>
      </w:r>
      <w:r w:rsidR="00E83A01">
        <w:rPr>
          <w:rStyle w:val="eop"/>
        </w:rPr>
        <w:t xml:space="preserve">: </w:t>
      </w:r>
      <w:r w:rsidR="00E83A01" w:rsidRPr="00602381">
        <w:rPr>
          <w:rStyle w:val="eop"/>
        </w:rPr>
        <w:t>23</w:t>
      </w:r>
      <w:r w:rsidR="004A4260">
        <w:rPr>
          <w:rStyle w:val="eop"/>
        </w:rPr>
        <w:t xml:space="preserve"> percent.</w:t>
      </w:r>
    </w:p>
    <w:p w14:paraId="236A60D9" w14:textId="139BF546" w:rsidR="003B5C78" w:rsidRDefault="003B5C78" w:rsidP="00DE3A93">
      <w:pPr>
        <w:pStyle w:val="Heading3"/>
      </w:pPr>
      <w:bookmarkStart w:id="18" w:name="_Toc53041867"/>
      <w:r>
        <w:t>Engagement platforms</w:t>
      </w:r>
      <w:bookmarkEnd w:id="18"/>
    </w:p>
    <w:p w14:paraId="6CF3D822" w14:textId="016F3C56" w:rsidR="0036500B" w:rsidRDefault="008A38A6" w:rsidP="00F82A7E">
      <w:r w:rsidRPr="008A38A6">
        <w:t>Participants advised that they found out about the survey via the following platforms:</w:t>
      </w:r>
    </w:p>
    <w:p w14:paraId="6790EC10" w14:textId="06948A5F" w:rsidR="008A38A6" w:rsidRDefault="008A38A6" w:rsidP="00602381">
      <w:pPr>
        <w:pStyle w:val="Bullet-Disc"/>
      </w:pPr>
      <w:r w:rsidRPr="007F429B">
        <w:t xml:space="preserve">DHS </w:t>
      </w:r>
      <w:r w:rsidR="003B5C78">
        <w:t>w</w:t>
      </w:r>
      <w:r w:rsidRPr="007F429B">
        <w:t>ebsite</w:t>
      </w:r>
      <w:r w:rsidR="00BE3E3F">
        <w:t xml:space="preserve">: </w:t>
      </w:r>
      <w:r w:rsidR="00BE3E3F" w:rsidRPr="007F429B">
        <w:t>33</w:t>
      </w:r>
      <w:r w:rsidR="004A4260">
        <w:t xml:space="preserve"> percent</w:t>
      </w:r>
    </w:p>
    <w:p w14:paraId="3DBD1D72" w14:textId="3B3A8823" w:rsidR="008A38A6" w:rsidRDefault="00CB0676" w:rsidP="00602381">
      <w:pPr>
        <w:pStyle w:val="Bullet-Disc"/>
      </w:pPr>
      <w:r>
        <w:t>Facebook</w:t>
      </w:r>
      <w:r w:rsidR="00BE3E3F">
        <w:t>: 28</w:t>
      </w:r>
      <w:r w:rsidR="004A4260">
        <w:t xml:space="preserve"> percent</w:t>
      </w:r>
    </w:p>
    <w:p w14:paraId="59C70E31" w14:textId="4C7EE1C3" w:rsidR="0036500B" w:rsidRDefault="008A38A6" w:rsidP="00602381">
      <w:pPr>
        <w:pStyle w:val="Bullet-Disc"/>
      </w:pPr>
      <w:r w:rsidRPr="007F429B">
        <w:t>Disability Engagement Group</w:t>
      </w:r>
      <w:r w:rsidR="00BE3E3F">
        <w:t>: 13</w:t>
      </w:r>
      <w:r w:rsidR="004A4260">
        <w:t xml:space="preserve"> percent.</w:t>
      </w:r>
    </w:p>
    <w:p w14:paraId="01CD5F17" w14:textId="61B78DC8" w:rsidR="008A38A6" w:rsidRPr="008A38A6" w:rsidRDefault="008A38A6" w:rsidP="00DE3A93">
      <w:pPr>
        <w:pStyle w:val="Heading3"/>
      </w:pPr>
      <w:bookmarkStart w:id="19" w:name="_Toc53041868"/>
      <w:r w:rsidRPr="008A38A6">
        <w:t>Service experiences</w:t>
      </w:r>
      <w:bookmarkEnd w:id="19"/>
    </w:p>
    <w:p w14:paraId="3BEDA86F" w14:textId="66D32879" w:rsidR="001748F5" w:rsidRPr="001748F5" w:rsidRDefault="00DE3A93" w:rsidP="00602381">
      <w:pPr>
        <w:pStyle w:val="Bullet-Disc"/>
      </w:pPr>
      <w:r>
        <w:rPr>
          <w:rFonts w:eastAsia="Arial"/>
        </w:rPr>
        <w:t>R</w:t>
      </w:r>
      <w:r w:rsidR="008A38A6" w:rsidRPr="007F429B">
        <w:rPr>
          <w:rFonts w:eastAsia="Arial"/>
        </w:rPr>
        <w:t xml:space="preserve">espondents </w:t>
      </w:r>
      <w:r w:rsidR="00BE3E3F">
        <w:rPr>
          <w:rFonts w:eastAsia="Arial"/>
        </w:rPr>
        <w:t xml:space="preserve">who </w:t>
      </w:r>
      <w:r w:rsidR="00CC6E1B" w:rsidRPr="00B35117">
        <w:t>advised they had experienced good practice or initiatives relating to disability and inclusion</w:t>
      </w:r>
      <w:r w:rsidR="00BE3E3F">
        <w:t xml:space="preserve">: </w:t>
      </w:r>
      <w:r w:rsidR="00BE3E3F" w:rsidRPr="00B35117">
        <w:t>40</w:t>
      </w:r>
      <w:r w:rsidR="004A4260">
        <w:t xml:space="preserve"> percent.</w:t>
      </w:r>
    </w:p>
    <w:p w14:paraId="1012B905" w14:textId="5577B99F" w:rsidR="001748F5" w:rsidRPr="001748F5" w:rsidRDefault="00BE3E3F" w:rsidP="00602381">
      <w:pPr>
        <w:pStyle w:val="Bullet-Disc"/>
      </w:pPr>
      <w:r>
        <w:t>R</w:t>
      </w:r>
      <w:r w:rsidR="008A38A6" w:rsidRPr="007F429B">
        <w:rPr>
          <w:rFonts w:eastAsia="Arial"/>
        </w:rPr>
        <w:t xml:space="preserve">espondents </w:t>
      </w:r>
      <w:r>
        <w:rPr>
          <w:rFonts w:eastAsia="Arial"/>
        </w:rPr>
        <w:t xml:space="preserve">who </w:t>
      </w:r>
      <w:r w:rsidR="001748F5">
        <w:t>advised they had experience</w:t>
      </w:r>
      <w:r w:rsidR="009B5269">
        <w:t>d</w:t>
      </w:r>
      <w:r w:rsidR="001748F5">
        <w:t xml:space="preserve"> barriers when </w:t>
      </w:r>
      <w:r w:rsidR="009B5269">
        <w:t xml:space="preserve">trying to </w:t>
      </w:r>
      <w:r w:rsidR="001748F5">
        <w:t xml:space="preserve">access DHS services or </w:t>
      </w:r>
      <w:proofErr w:type="gramStart"/>
      <w:r w:rsidR="001748F5">
        <w:t>supports</w:t>
      </w:r>
      <w:r>
        <w:t>:</w:t>
      </w:r>
      <w:proofErr w:type="gramEnd"/>
      <w:r>
        <w:t xml:space="preserve"> 34</w:t>
      </w:r>
      <w:r w:rsidR="004A4260">
        <w:t xml:space="preserve"> percent.</w:t>
      </w:r>
    </w:p>
    <w:p w14:paraId="57413AA7" w14:textId="6D18DCE7" w:rsidR="0036500B" w:rsidRDefault="00BE3E3F" w:rsidP="00602381">
      <w:pPr>
        <w:pStyle w:val="Bullet-Disc"/>
      </w:pPr>
      <w:r>
        <w:rPr>
          <w:rFonts w:eastAsia="Arial"/>
        </w:rPr>
        <w:t>R</w:t>
      </w:r>
      <w:r w:rsidR="008A38A6" w:rsidRPr="007F429B">
        <w:rPr>
          <w:rFonts w:eastAsia="Arial"/>
        </w:rPr>
        <w:t xml:space="preserve">espondents </w:t>
      </w:r>
      <w:r w:rsidR="001748F5">
        <w:t>had suggestions on how we can improve our services and supports so they are more accessible and inclusive for people with disability</w:t>
      </w:r>
      <w:r>
        <w:t>: 53</w:t>
      </w:r>
      <w:r w:rsidR="004A4260">
        <w:t xml:space="preserve"> percent.</w:t>
      </w:r>
    </w:p>
    <w:p w14:paraId="42251BCE" w14:textId="3D5D2D4A" w:rsidR="00717F1E" w:rsidRPr="00602381" w:rsidRDefault="00717F1E" w:rsidP="00DE3A93">
      <w:pPr>
        <w:pStyle w:val="Heading2"/>
      </w:pPr>
      <w:bookmarkStart w:id="20" w:name="_DHS_actions"/>
      <w:bookmarkStart w:id="21" w:name="_Toc53041869"/>
      <w:bookmarkEnd w:id="20"/>
      <w:r w:rsidRPr="00602381">
        <w:t xml:space="preserve">DHS </w:t>
      </w:r>
      <w:r w:rsidR="00450A1E" w:rsidRPr="00602381">
        <w:t>actions</w:t>
      </w:r>
      <w:bookmarkEnd w:id="21"/>
    </w:p>
    <w:p w14:paraId="5FB9DCB9" w14:textId="52417E42" w:rsidR="000A0F4A" w:rsidRDefault="000A0F4A" w:rsidP="007F6FF1">
      <w:r>
        <w:t>We have</w:t>
      </w:r>
      <w:r w:rsidR="00717F1E" w:rsidRPr="000A0F4A">
        <w:t xml:space="preserve"> </w:t>
      </w:r>
      <w:r w:rsidR="00466212">
        <w:t>committed to a</w:t>
      </w:r>
      <w:r w:rsidR="00717F1E" w:rsidRPr="000A0F4A">
        <w:t xml:space="preserve"> range of actions to </w:t>
      </w:r>
      <w:r>
        <w:t xml:space="preserve">support the State Government </w:t>
      </w:r>
      <w:r w:rsidR="002964FB">
        <w:t xml:space="preserve">to </w:t>
      </w:r>
      <w:r w:rsidR="00717F1E" w:rsidRPr="000A0F4A">
        <w:t xml:space="preserve">address the </w:t>
      </w:r>
      <w:r w:rsidR="00466212">
        <w:t xml:space="preserve">barriers </w:t>
      </w:r>
      <w:r w:rsidR="003A0393" w:rsidRPr="000A0F4A">
        <w:t>identified</w:t>
      </w:r>
      <w:r>
        <w:t xml:space="preserve"> by</w:t>
      </w:r>
      <w:r w:rsidR="00510FAB">
        <w:t xml:space="preserve"> people living with disability and other members of</w:t>
      </w:r>
      <w:r>
        <w:t xml:space="preserve"> the community </w:t>
      </w:r>
      <w:r w:rsidR="003A0393" w:rsidRPr="000A0F4A">
        <w:t xml:space="preserve">during the State Government’s consultation on </w:t>
      </w:r>
      <w:r w:rsidR="00DF6E49">
        <w:t>Inclusive SA</w:t>
      </w:r>
      <w:r>
        <w:t>.</w:t>
      </w:r>
    </w:p>
    <w:p w14:paraId="3D660568" w14:textId="73057F93" w:rsidR="0030365D" w:rsidRDefault="00B74BCD" w:rsidP="007F6FF1">
      <w:r w:rsidRPr="00B74BCD">
        <w:t>Our actions represent an across department commitment to access and inclusion and are underpinned by the four Inclusive SA themes</w:t>
      </w:r>
      <w:r w:rsidR="000A0F4A">
        <w:t>.</w:t>
      </w:r>
    </w:p>
    <w:p w14:paraId="52F40737" w14:textId="77777777" w:rsidR="00ED4DFC" w:rsidRPr="00602381" w:rsidRDefault="00ED4DFC" w:rsidP="00DE3A93">
      <w:pPr>
        <w:pStyle w:val="Heading3"/>
      </w:pPr>
      <w:bookmarkStart w:id="22" w:name="_Toc53041870"/>
      <w:r w:rsidRPr="00602381">
        <w:t>Theme One: Inclusive communities for all</w:t>
      </w:r>
      <w:bookmarkEnd w:id="22"/>
    </w:p>
    <w:p w14:paraId="76C598C7" w14:textId="77777777" w:rsidR="00ED4DFC" w:rsidRPr="00ED4DFC" w:rsidRDefault="00ED4DFC" w:rsidP="007F6FF1">
      <w:r w:rsidRPr="00ED4DFC">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55A9E9AA" w14:textId="4973DFD8" w:rsidR="00ED4DFC" w:rsidRDefault="00ED4DFC" w:rsidP="007F6FF1">
      <w:r w:rsidRPr="00ED4DFC">
        <w:t>DHS will support social inclusion and promote and uphold the rights of people with disability through the following action</w:t>
      </w:r>
      <w:r>
        <w:t>.</w:t>
      </w:r>
    </w:p>
    <w:p w14:paraId="3D6189D1" w14:textId="77777777" w:rsidR="008C1E56" w:rsidRPr="00D2626A" w:rsidRDefault="008C1E56" w:rsidP="00D2626A">
      <w:pPr>
        <w:pStyle w:val="Heading4"/>
      </w:pPr>
      <w:r w:rsidRPr="00D2626A">
        <w:lastRenderedPageBreak/>
        <w:t>Priority 1: Involvement in the community</w:t>
      </w:r>
    </w:p>
    <w:tbl>
      <w:tblPr>
        <w:tblStyle w:val="TableGrid"/>
        <w:tblW w:w="4950" w:type="pct"/>
        <w:tblLook w:val="04A0" w:firstRow="1" w:lastRow="0" w:firstColumn="1" w:lastColumn="0" w:noHBand="0" w:noVBand="1"/>
      </w:tblPr>
      <w:tblGrid>
        <w:gridCol w:w="850"/>
        <w:gridCol w:w="2837"/>
        <w:gridCol w:w="2040"/>
        <w:gridCol w:w="1773"/>
        <w:gridCol w:w="2592"/>
      </w:tblGrid>
      <w:tr w:rsidR="008C1E56" w:rsidRPr="00120A28" w14:paraId="174B514D" w14:textId="77777777" w:rsidTr="008C1E56">
        <w:trPr>
          <w:cantSplit/>
          <w:tblHeader/>
        </w:trPr>
        <w:tc>
          <w:tcPr>
            <w:tcW w:w="1170" w:type="dxa"/>
          </w:tcPr>
          <w:p w14:paraId="61F0F4CF" w14:textId="77777777" w:rsidR="008C1E56" w:rsidRPr="00120A28" w:rsidRDefault="008C1E56" w:rsidP="00844B09">
            <w:pPr>
              <w:pStyle w:val="Table-Header"/>
            </w:pPr>
            <w:r w:rsidRPr="00120A28">
              <w:t xml:space="preserve">No. </w:t>
            </w:r>
          </w:p>
        </w:tc>
        <w:tc>
          <w:tcPr>
            <w:tcW w:w="4327" w:type="dxa"/>
          </w:tcPr>
          <w:p w14:paraId="73EC99E3" w14:textId="77777777" w:rsidR="008C1E56" w:rsidRPr="00120A28" w:rsidRDefault="008C1E56" w:rsidP="00844B09">
            <w:pPr>
              <w:pStyle w:val="Table-Header"/>
            </w:pPr>
            <w:r w:rsidRPr="00120A28">
              <w:t>Action</w:t>
            </w:r>
          </w:p>
        </w:tc>
        <w:tc>
          <w:tcPr>
            <w:tcW w:w="2602" w:type="dxa"/>
          </w:tcPr>
          <w:p w14:paraId="56D8A0DC" w14:textId="77777777" w:rsidR="008C1E56" w:rsidRPr="00120A28" w:rsidRDefault="008C1E56" w:rsidP="00844B09">
            <w:pPr>
              <w:pStyle w:val="Table-Header"/>
            </w:pPr>
            <w:r w:rsidRPr="00120A28">
              <w:t>Lead Directorate</w:t>
            </w:r>
          </w:p>
        </w:tc>
        <w:tc>
          <w:tcPr>
            <w:tcW w:w="2268" w:type="dxa"/>
          </w:tcPr>
          <w:p w14:paraId="4F9FFA74" w14:textId="77777777" w:rsidR="008C1E56" w:rsidRPr="00120A28" w:rsidRDefault="008C1E56" w:rsidP="00844B09">
            <w:pPr>
              <w:pStyle w:val="Table-Header"/>
            </w:pPr>
            <w:r w:rsidRPr="00120A28">
              <w:t>Timeframe</w:t>
            </w:r>
          </w:p>
        </w:tc>
        <w:tc>
          <w:tcPr>
            <w:tcW w:w="3442" w:type="dxa"/>
          </w:tcPr>
          <w:p w14:paraId="47580882" w14:textId="77777777" w:rsidR="008C1E56" w:rsidRPr="00120A28" w:rsidRDefault="008C1E56" w:rsidP="00844B09">
            <w:pPr>
              <w:pStyle w:val="Table-Header"/>
            </w:pPr>
            <w:r w:rsidRPr="00120A28">
              <w:t>Target</w:t>
            </w:r>
          </w:p>
        </w:tc>
      </w:tr>
      <w:tr w:rsidR="008C1E56" w14:paraId="2981789C" w14:textId="77777777" w:rsidTr="008C1E56">
        <w:trPr>
          <w:cantSplit/>
        </w:trPr>
        <w:tc>
          <w:tcPr>
            <w:tcW w:w="1170" w:type="dxa"/>
          </w:tcPr>
          <w:p w14:paraId="3F7AA3EE" w14:textId="77777777" w:rsidR="008C1E56" w:rsidRDefault="008C1E56" w:rsidP="007F6FF1">
            <w:r>
              <w:t>1.1</w:t>
            </w:r>
          </w:p>
        </w:tc>
        <w:tc>
          <w:tcPr>
            <w:tcW w:w="4327" w:type="dxa"/>
          </w:tcPr>
          <w:p w14:paraId="5EEFBAB3" w14:textId="410AC2D1" w:rsidR="008C1E56" w:rsidRDefault="008C1E56" w:rsidP="007F6FF1">
            <w:r>
              <w:t xml:space="preserve">We will lead </w:t>
            </w:r>
            <w:r w:rsidRPr="00AA6877">
              <w:rPr>
                <w:b/>
                <w:bCs/>
              </w:rPr>
              <w:t xml:space="preserve">action 1 in </w:t>
            </w:r>
            <w:r>
              <w:rPr>
                <w:b/>
                <w:bCs/>
              </w:rPr>
              <w:t>Inclusive SA</w:t>
            </w:r>
            <w:r>
              <w:t xml:space="preserve"> and develop an event toolkit to promote accessible and inclusive practices for S</w:t>
            </w:r>
            <w:r w:rsidR="00797FA7">
              <w:t>A</w:t>
            </w:r>
            <w:r>
              <w:t xml:space="preserve"> Government departments and local councils.</w:t>
            </w:r>
          </w:p>
        </w:tc>
        <w:tc>
          <w:tcPr>
            <w:tcW w:w="2602" w:type="dxa"/>
          </w:tcPr>
          <w:p w14:paraId="2DDA4BAE" w14:textId="289137B5" w:rsidR="008C1E56" w:rsidRDefault="008C1E56" w:rsidP="007F6FF1">
            <w:r>
              <w:t>Disability Action and Inclusion</w:t>
            </w:r>
          </w:p>
        </w:tc>
        <w:tc>
          <w:tcPr>
            <w:tcW w:w="2268" w:type="dxa"/>
          </w:tcPr>
          <w:p w14:paraId="2A962635" w14:textId="2328AA2A" w:rsidR="008C1E56" w:rsidRDefault="008C1E56" w:rsidP="007F6FF1">
            <w:r>
              <w:t>December 2020 and June 2021</w:t>
            </w:r>
          </w:p>
        </w:tc>
        <w:tc>
          <w:tcPr>
            <w:tcW w:w="3442" w:type="dxa"/>
          </w:tcPr>
          <w:p w14:paraId="6A7A30CF" w14:textId="77777777" w:rsidR="008C1E56" w:rsidRDefault="008C1E56" w:rsidP="007F6FF1">
            <w:r>
              <w:t>Phase 1 of the event toolkit will be published and available in accessible formats.</w:t>
            </w:r>
          </w:p>
          <w:p w14:paraId="5D448A7B" w14:textId="6CAF636B" w:rsidR="008C1E56" w:rsidRDefault="008C1E56" w:rsidP="007F6FF1">
            <w:r>
              <w:t>Phase 2 will be further refined in consultation with stakeholders.</w:t>
            </w:r>
          </w:p>
        </w:tc>
      </w:tr>
      <w:tr w:rsidR="008C1E56" w14:paraId="62DE6C5E" w14:textId="77777777" w:rsidTr="008C1E56">
        <w:trPr>
          <w:cantSplit/>
        </w:trPr>
        <w:tc>
          <w:tcPr>
            <w:tcW w:w="1170" w:type="dxa"/>
          </w:tcPr>
          <w:p w14:paraId="66FCD009" w14:textId="77777777" w:rsidR="008C1E56" w:rsidRDefault="008C1E56" w:rsidP="007F6FF1">
            <w:r>
              <w:t>1.2</w:t>
            </w:r>
          </w:p>
        </w:tc>
        <w:tc>
          <w:tcPr>
            <w:tcW w:w="4327" w:type="dxa"/>
          </w:tcPr>
          <w:p w14:paraId="0BC5E188" w14:textId="3963A0A3" w:rsidR="008C1E56" w:rsidRDefault="008C1E56" w:rsidP="007F6FF1">
            <w:r>
              <w:t xml:space="preserve">We will lead </w:t>
            </w:r>
            <w:r w:rsidRPr="001B47C5">
              <w:rPr>
                <w:b/>
                <w:bCs/>
              </w:rPr>
              <w:t xml:space="preserve">action 2 in </w:t>
            </w:r>
            <w:r>
              <w:rPr>
                <w:b/>
                <w:bCs/>
              </w:rPr>
              <w:t xml:space="preserve">Inclusive SA </w:t>
            </w:r>
            <w:r>
              <w:t>and explore the redesign or creation of an App (or other medium) that displays existing and future community services and facilities that are wheelchair and disability-access-friendly.</w:t>
            </w:r>
          </w:p>
        </w:tc>
        <w:tc>
          <w:tcPr>
            <w:tcW w:w="2602" w:type="dxa"/>
          </w:tcPr>
          <w:p w14:paraId="4169E656" w14:textId="432FAC4E" w:rsidR="008C1E56" w:rsidRDefault="008C1E56" w:rsidP="007F6FF1">
            <w:r w:rsidRPr="008C1E56">
              <w:t>Disability Access and Inclusion</w:t>
            </w:r>
          </w:p>
        </w:tc>
        <w:tc>
          <w:tcPr>
            <w:tcW w:w="2268" w:type="dxa"/>
          </w:tcPr>
          <w:p w14:paraId="16B65978" w14:textId="079E5551" w:rsidR="008C1E56" w:rsidRDefault="008C1E56" w:rsidP="007F6FF1">
            <w:r>
              <w:t>December 2020</w:t>
            </w:r>
          </w:p>
        </w:tc>
        <w:tc>
          <w:tcPr>
            <w:tcW w:w="3442" w:type="dxa"/>
          </w:tcPr>
          <w:p w14:paraId="4AEFAE36" w14:textId="77777777" w:rsidR="008C1E56" w:rsidRDefault="008C1E56" w:rsidP="007F6FF1">
            <w:r>
              <w:t xml:space="preserve">Phase 1 App project scoped and costed for decisions about implementation. </w:t>
            </w:r>
          </w:p>
          <w:p w14:paraId="6C931D78" w14:textId="79FF1F0D" w:rsidR="008C1E56" w:rsidRDefault="008C1E56" w:rsidP="007F6FF1">
            <w:r>
              <w:t>Phase 2 will ensure the successful design and rollout of an App that displays community services</w:t>
            </w:r>
            <w:r w:rsidR="007E3091">
              <w:t>.</w:t>
            </w:r>
          </w:p>
        </w:tc>
      </w:tr>
      <w:tr w:rsidR="008C1E56" w14:paraId="184A915E" w14:textId="77777777" w:rsidTr="008C1E56">
        <w:trPr>
          <w:cantSplit/>
        </w:trPr>
        <w:tc>
          <w:tcPr>
            <w:tcW w:w="1170" w:type="dxa"/>
          </w:tcPr>
          <w:p w14:paraId="09F04205" w14:textId="77777777" w:rsidR="008C1E56" w:rsidRDefault="008C1E56" w:rsidP="007F6FF1">
            <w:r>
              <w:t>1.3</w:t>
            </w:r>
          </w:p>
        </w:tc>
        <w:tc>
          <w:tcPr>
            <w:tcW w:w="4327" w:type="dxa"/>
          </w:tcPr>
          <w:p w14:paraId="6121748F" w14:textId="2588153E" w:rsidR="008C1E56" w:rsidRDefault="008C1E56" w:rsidP="007F6FF1">
            <w:r w:rsidRPr="008C1E56">
              <w:t>We will support people with disability to be involved in their communities by promoting the Companion Card SA program to increase the number of affiliate organisations and new customers.</w:t>
            </w:r>
          </w:p>
        </w:tc>
        <w:tc>
          <w:tcPr>
            <w:tcW w:w="2602" w:type="dxa"/>
          </w:tcPr>
          <w:p w14:paraId="5B817B5F" w14:textId="63727FF6" w:rsidR="008C1E56" w:rsidRDefault="008C1E56" w:rsidP="007F6FF1">
            <w:r w:rsidRPr="008C1E56">
              <w:t>Concessions and Support Services</w:t>
            </w:r>
          </w:p>
        </w:tc>
        <w:tc>
          <w:tcPr>
            <w:tcW w:w="2268" w:type="dxa"/>
          </w:tcPr>
          <w:p w14:paraId="1166DB28" w14:textId="77777777" w:rsidR="008C1E56" w:rsidRDefault="008C1E56" w:rsidP="007F6FF1">
            <w:r>
              <w:t>June 2021</w:t>
            </w:r>
          </w:p>
        </w:tc>
        <w:tc>
          <w:tcPr>
            <w:tcW w:w="3442" w:type="dxa"/>
          </w:tcPr>
          <w:p w14:paraId="31F259BC" w14:textId="33A8BA40" w:rsidR="008C1E56" w:rsidRPr="00512AE7" w:rsidRDefault="008C1E56" w:rsidP="007F6FF1">
            <w:r w:rsidRPr="00512AE7">
              <w:t xml:space="preserve">10 </w:t>
            </w:r>
            <w:r w:rsidR="004A4260">
              <w:t>percent</w:t>
            </w:r>
            <w:r w:rsidRPr="00512AE7">
              <w:t xml:space="preserve"> increase in new businesses registered as affiliate organisations.</w:t>
            </w:r>
          </w:p>
          <w:p w14:paraId="41C9A951" w14:textId="29E10809" w:rsidR="008C1E56" w:rsidRDefault="008C1E56" w:rsidP="007F6FF1">
            <w:r>
              <w:t xml:space="preserve">10 </w:t>
            </w:r>
            <w:r w:rsidR="004A4260">
              <w:t>percent</w:t>
            </w:r>
            <w:r>
              <w:t xml:space="preserve"> increase in new customers using the Companion Card SA. </w:t>
            </w:r>
          </w:p>
          <w:p w14:paraId="396950B9" w14:textId="6BD907FA" w:rsidR="008C1E56" w:rsidRDefault="008C1E56" w:rsidP="007F6FF1">
            <w:r w:rsidRPr="008C1E56">
              <w:t>Develop 2021</w:t>
            </w:r>
            <w:r>
              <w:t>–</w:t>
            </w:r>
            <w:r w:rsidRPr="008C1E56">
              <w:t>24 program objectives and targets with National Disability Services.</w:t>
            </w:r>
          </w:p>
        </w:tc>
      </w:tr>
      <w:tr w:rsidR="004D3C13" w14:paraId="2AA66A27" w14:textId="77777777" w:rsidTr="008C1E56">
        <w:trPr>
          <w:cantSplit/>
        </w:trPr>
        <w:tc>
          <w:tcPr>
            <w:tcW w:w="1170" w:type="dxa"/>
          </w:tcPr>
          <w:p w14:paraId="4693D6EA" w14:textId="5D4BD45B" w:rsidR="004D3C13" w:rsidRDefault="004D3C13" w:rsidP="007F6FF1">
            <w:r>
              <w:t>1.4</w:t>
            </w:r>
          </w:p>
        </w:tc>
        <w:tc>
          <w:tcPr>
            <w:tcW w:w="4327" w:type="dxa"/>
          </w:tcPr>
          <w:p w14:paraId="30A89EF5" w14:textId="7AEE8669" w:rsidR="004D3C13" w:rsidRPr="004D3C13" w:rsidRDefault="004D3C13" w:rsidP="007F6FF1">
            <w:r w:rsidRPr="004D3C13">
              <w:t xml:space="preserve">We completed </w:t>
            </w:r>
            <w:r w:rsidRPr="004D3C13">
              <w:rPr>
                <w:b/>
                <w:bCs/>
              </w:rPr>
              <w:t>action 3 in Inclusive SA</w:t>
            </w:r>
            <w:r w:rsidRPr="004D3C13">
              <w:t xml:space="preserve"> to develop and promote inclusive play guidelines to guide local councils and other community groups in the development of accessible and inclusive playgrounds and play spaces.</w:t>
            </w:r>
          </w:p>
        </w:tc>
        <w:tc>
          <w:tcPr>
            <w:tcW w:w="2602" w:type="dxa"/>
          </w:tcPr>
          <w:p w14:paraId="4FE6EF93" w14:textId="51BF57E3" w:rsidR="004D3C13" w:rsidRPr="008C1E56" w:rsidRDefault="004D3C13" w:rsidP="007F6FF1">
            <w:r>
              <w:t>Disability Access and Inclusion</w:t>
            </w:r>
          </w:p>
        </w:tc>
        <w:tc>
          <w:tcPr>
            <w:tcW w:w="2268" w:type="dxa"/>
          </w:tcPr>
          <w:p w14:paraId="6981BAAF" w14:textId="79769835" w:rsidR="004D3C13" w:rsidRDefault="004D3C13" w:rsidP="007F6FF1">
            <w:r>
              <w:t>Completed and</w:t>
            </w:r>
            <w:r w:rsidR="00083F7F">
              <w:t xml:space="preserve"> </w:t>
            </w:r>
            <w:r>
              <w:t>Ongoing</w:t>
            </w:r>
          </w:p>
        </w:tc>
        <w:tc>
          <w:tcPr>
            <w:tcW w:w="3442" w:type="dxa"/>
          </w:tcPr>
          <w:p w14:paraId="3A074CB1" w14:textId="77777777" w:rsidR="004D3C13" w:rsidRDefault="004D3C13" w:rsidP="007F6FF1">
            <w:r>
              <w:t>The Inclusive Play guidelines were launched in December 2019.</w:t>
            </w:r>
          </w:p>
          <w:p w14:paraId="4516026F" w14:textId="529E1884" w:rsidR="004D3C13" w:rsidRDefault="004D3C13" w:rsidP="007F6FF1">
            <w:r>
              <w:t>The promotion of Inclusive Play guidelines in publications and DHS website is ongoing.</w:t>
            </w:r>
          </w:p>
          <w:p w14:paraId="30E3B513" w14:textId="77777777" w:rsidR="004D3C13" w:rsidRPr="00512AE7" w:rsidRDefault="004D3C13" w:rsidP="007F6FF1"/>
        </w:tc>
      </w:tr>
    </w:tbl>
    <w:p w14:paraId="667EADED" w14:textId="3835BF3D" w:rsidR="008C1E56" w:rsidRDefault="008C1E56" w:rsidP="007F6FF1"/>
    <w:p w14:paraId="00F64FFF" w14:textId="296B0156" w:rsidR="004D3C13" w:rsidRDefault="00DE3A93" w:rsidP="007F6FF1">
      <w:hyperlink w:anchor="_DHS_actions" w:history="1">
        <w:r w:rsidR="004D3C13" w:rsidRPr="003B5C78">
          <w:rPr>
            <w:rStyle w:val="Hyperlink"/>
          </w:rPr>
          <w:t>Back to top</w:t>
        </w:r>
      </w:hyperlink>
    </w:p>
    <w:p w14:paraId="093A9D5F" w14:textId="28B3F4A5" w:rsidR="004D3C13" w:rsidRDefault="004D3C13" w:rsidP="00D2626A">
      <w:pPr>
        <w:pStyle w:val="Heading4"/>
      </w:pPr>
      <w:r w:rsidRPr="00390B09">
        <w:lastRenderedPageBreak/>
        <w:t>Priority 2: Improving community understanding and awareness</w:t>
      </w:r>
    </w:p>
    <w:tbl>
      <w:tblPr>
        <w:tblStyle w:val="TableGrid"/>
        <w:tblW w:w="4950" w:type="pct"/>
        <w:tblLook w:val="04A0" w:firstRow="1" w:lastRow="0" w:firstColumn="1" w:lastColumn="0" w:noHBand="0" w:noVBand="1"/>
      </w:tblPr>
      <w:tblGrid>
        <w:gridCol w:w="779"/>
        <w:gridCol w:w="2771"/>
        <w:gridCol w:w="2302"/>
        <w:gridCol w:w="1736"/>
        <w:gridCol w:w="2504"/>
      </w:tblGrid>
      <w:tr w:rsidR="004D3C13" w:rsidRPr="00C70513" w14:paraId="7EA975C0" w14:textId="77777777" w:rsidTr="00D94D43">
        <w:trPr>
          <w:cantSplit/>
          <w:tblHeader/>
        </w:trPr>
        <w:tc>
          <w:tcPr>
            <w:tcW w:w="736" w:type="dxa"/>
          </w:tcPr>
          <w:p w14:paraId="167C26DA" w14:textId="77777777" w:rsidR="004D3C13" w:rsidRPr="00C70513" w:rsidRDefault="004D3C13" w:rsidP="00844B09">
            <w:pPr>
              <w:pStyle w:val="Table-Header"/>
            </w:pPr>
            <w:r w:rsidRPr="00C70513">
              <w:t xml:space="preserve">No. </w:t>
            </w:r>
          </w:p>
        </w:tc>
        <w:tc>
          <w:tcPr>
            <w:tcW w:w="2617" w:type="dxa"/>
          </w:tcPr>
          <w:p w14:paraId="33EB3A9C" w14:textId="77777777" w:rsidR="004D3C13" w:rsidRPr="00C70513" w:rsidRDefault="004D3C13" w:rsidP="00844B09">
            <w:pPr>
              <w:pStyle w:val="Table-Header"/>
            </w:pPr>
            <w:r w:rsidRPr="00C70513">
              <w:t>Action</w:t>
            </w:r>
          </w:p>
        </w:tc>
        <w:tc>
          <w:tcPr>
            <w:tcW w:w="2174" w:type="dxa"/>
          </w:tcPr>
          <w:p w14:paraId="62343C1A" w14:textId="77777777" w:rsidR="004D3C13" w:rsidRPr="00C70513" w:rsidRDefault="004D3C13" w:rsidP="00844B09">
            <w:pPr>
              <w:pStyle w:val="Table-Header"/>
            </w:pPr>
            <w:r w:rsidRPr="00C70513">
              <w:t>Lead Directorate</w:t>
            </w:r>
          </w:p>
        </w:tc>
        <w:tc>
          <w:tcPr>
            <w:tcW w:w="1640" w:type="dxa"/>
          </w:tcPr>
          <w:p w14:paraId="08F28B96" w14:textId="77777777" w:rsidR="004D3C13" w:rsidRPr="00C70513" w:rsidRDefault="004D3C13" w:rsidP="00844B09">
            <w:pPr>
              <w:pStyle w:val="Table-Header"/>
            </w:pPr>
            <w:r w:rsidRPr="00C70513">
              <w:t>Timeframe</w:t>
            </w:r>
          </w:p>
        </w:tc>
        <w:tc>
          <w:tcPr>
            <w:tcW w:w="2365" w:type="dxa"/>
          </w:tcPr>
          <w:p w14:paraId="5BE1C0AC" w14:textId="77777777" w:rsidR="004D3C13" w:rsidRPr="00C70513" w:rsidRDefault="004D3C13" w:rsidP="00844B09">
            <w:pPr>
              <w:pStyle w:val="Table-Header"/>
            </w:pPr>
            <w:r w:rsidRPr="00C70513">
              <w:t>Target</w:t>
            </w:r>
          </w:p>
        </w:tc>
      </w:tr>
      <w:tr w:rsidR="008A38A6" w14:paraId="5291E14C" w14:textId="77777777" w:rsidTr="00D94D43">
        <w:trPr>
          <w:cantSplit/>
        </w:trPr>
        <w:tc>
          <w:tcPr>
            <w:tcW w:w="736" w:type="dxa"/>
          </w:tcPr>
          <w:p w14:paraId="46173CD6" w14:textId="0D4D83F3" w:rsidR="008A38A6" w:rsidRDefault="008A38A6" w:rsidP="007F6FF1">
            <w:r>
              <w:t>2.1</w:t>
            </w:r>
          </w:p>
        </w:tc>
        <w:tc>
          <w:tcPr>
            <w:tcW w:w="2617" w:type="dxa"/>
          </w:tcPr>
          <w:p w14:paraId="0485C1C7" w14:textId="426B7005" w:rsidR="008A38A6" w:rsidRDefault="008A38A6" w:rsidP="007F6FF1">
            <w:r w:rsidRPr="00390B09">
              <w:t xml:space="preserve">We will lead </w:t>
            </w:r>
            <w:r w:rsidRPr="00390B09">
              <w:rPr>
                <w:b/>
                <w:bCs/>
              </w:rPr>
              <w:t>action 6 in Inclusive SA</w:t>
            </w:r>
            <w:r w:rsidRPr="00390B09">
              <w:t xml:space="preserve"> and work with relevant </w:t>
            </w:r>
            <w:r w:rsidR="009A4B2A">
              <w:t>SA</w:t>
            </w:r>
            <w:r w:rsidRPr="00390B09">
              <w:t xml:space="preserve"> Government departments to improve community understanding and awareness and promote the new National Disability Strategy that will be launched in 2021.</w:t>
            </w:r>
          </w:p>
        </w:tc>
        <w:tc>
          <w:tcPr>
            <w:tcW w:w="2174" w:type="dxa"/>
          </w:tcPr>
          <w:p w14:paraId="1A678F37" w14:textId="594036D4" w:rsidR="008A38A6" w:rsidRDefault="008A38A6" w:rsidP="007F6FF1">
            <w:r w:rsidRPr="00390B09">
              <w:t>Disability Access and Inclusion</w:t>
            </w:r>
          </w:p>
        </w:tc>
        <w:tc>
          <w:tcPr>
            <w:tcW w:w="1640" w:type="dxa"/>
          </w:tcPr>
          <w:p w14:paraId="11EDF2FF" w14:textId="0F8458CE" w:rsidR="008A38A6" w:rsidRDefault="008A38A6" w:rsidP="007F6FF1">
            <w:r w:rsidRPr="00390B09">
              <w:t>June 2021</w:t>
            </w:r>
          </w:p>
        </w:tc>
        <w:tc>
          <w:tcPr>
            <w:tcW w:w="2365" w:type="dxa"/>
          </w:tcPr>
          <w:p w14:paraId="58EE8C86" w14:textId="634F9EFD" w:rsidR="008A38A6" w:rsidRDefault="008A38A6" w:rsidP="007F6FF1">
            <w:r w:rsidRPr="00390B09">
              <w:t xml:space="preserve">A campaign to promote the New National Disability Strategy is implemented. </w:t>
            </w:r>
          </w:p>
        </w:tc>
      </w:tr>
      <w:tr w:rsidR="008A38A6" w14:paraId="3DC897D5" w14:textId="77777777" w:rsidTr="00D94D43">
        <w:trPr>
          <w:cantSplit/>
        </w:trPr>
        <w:tc>
          <w:tcPr>
            <w:tcW w:w="736" w:type="dxa"/>
          </w:tcPr>
          <w:p w14:paraId="417CFAAC" w14:textId="42843EED" w:rsidR="008A38A6" w:rsidRDefault="008A38A6" w:rsidP="007F6FF1">
            <w:r>
              <w:t>2.2</w:t>
            </w:r>
          </w:p>
        </w:tc>
        <w:tc>
          <w:tcPr>
            <w:tcW w:w="2617" w:type="dxa"/>
          </w:tcPr>
          <w:p w14:paraId="72A97F0F" w14:textId="2C7467B9" w:rsidR="008A38A6" w:rsidRDefault="008A38A6" w:rsidP="007F6FF1">
            <w:r w:rsidRPr="00390B09">
              <w:t xml:space="preserve">We will work with the Commonwealth Government to develop data indicators to measure changes in community attitudes about the rights and needs of people with disability in leading </w:t>
            </w:r>
            <w:r w:rsidRPr="00390B09">
              <w:rPr>
                <w:b/>
              </w:rPr>
              <w:t>action 7 in Inclusive SA</w:t>
            </w:r>
            <w:r w:rsidRPr="00390B09">
              <w:t xml:space="preserve"> </w:t>
            </w:r>
          </w:p>
        </w:tc>
        <w:tc>
          <w:tcPr>
            <w:tcW w:w="2174" w:type="dxa"/>
          </w:tcPr>
          <w:p w14:paraId="6B7C55D6" w14:textId="08BC0086" w:rsidR="008A38A6" w:rsidRDefault="008A38A6" w:rsidP="007F6FF1">
            <w:r w:rsidRPr="00390B09">
              <w:t>Disability Access and Inclusion</w:t>
            </w:r>
          </w:p>
        </w:tc>
        <w:tc>
          <w:tcPr>
            <w:tcW w:w="1640" w:type="dxa"/>
          </w:tcPr>
          <w:p w14:paraId="1BF5E875" w14:textId="2F6CBFC4" w:rsidR="008A38A6" w:rsidRDefault="008A38A6" w:rsidP="007F6FF1">
            <w:r w:rsidRPr="00390B09">
              <w:t>September 2021</w:t>
            </w:r>
          </w:p>
        </w:tc>
        <w:tc>
          <w:tcPr>
            <w:tcW w:w="2365" w:type="dxa"/>
          </w:tcPr>
          <w:p w14:paraId="7A0586AF" w14:textId="77777777" w:rsidR="008A38A6" w:rsidRPr="00390B09" w:rsidRDefault="008A38A6" w:rsidP="007F6FF1">
            <w:r w:rsidRPr="00390B09">
              <w:t xml:space="preserve">Data indicators are released as part of the </w:t>
            </w:r>
            <w:proofErr w:type="gramStart"/>
            <w:r w:rsidRPr="00390B09">
              <w:t>outcomes</w:t>
            </w:r>
            <w:proofErr w:type="gramEnd"/>
            <w:r w:rsidRPr="00390B09">
              <w:t xml:space="preserve"> framework for the new National Disability Strategy.</w:t>
            </w:r>
          </w:p>
          <w:p w14:paraId="0C5BEE10" w14:textId="410CE887" w:rsidR="008A38A6" w:rsidRDefault="008A38A6" w:rsidP="007F6FF1">
            <w:r w:rsidRPr="00390B09">
              <w:t>Plan is developed to support collection of relevant data.</w:t>
            </w:r>
          </w:p>
        </w:tc>
      </w:tr>
      <w:tr w:rsidR="008A38A6" w14:paraId="222BA6EB" w14:textId="77777777" w:rsidTr="00D94D43">
        <w:trPr>
          <w:cantSplit/>
        </w:trPr>
        <w:tc>
          <w:tcPr>
            <w:tcW w:w="736" w:type="dxa"/>
          </w:tcPr>
          <w:p w14:paraId="53758CD0" w14:textId="09D9D208" w:rsidR="008A38A6" w:rsidRDefault="008A38A6" w:rsidP="007F6FF1">
            <w:r>
              <w:t>2.3</w:t>
            </w:r>
          </w:p>
        </w:tc>
        <w:tc>
          <w:tcPr>
            <w:tcW w:w="2617" w:type="dxa"/>
          </w:tcPr>
          <w:p w14:paraId="5FA7D782" w14:textId="0EA86A3F" w:rsidR="008A38A6" w:rsidRPr="00150CE0" w:rsidRDefault="008A38A6" w:rsidP="007F6FF1">
            <w:r w:rsidRPr="00150CE0">
              <w:t>We will commemorate International Day of People with Disability annually and use this day as a catalyst to celebrate the contributions people with disability make to society and reflect on how we can be more accessible as an organisation.</w:t>
            </w:r>
            <w:r w:rsidR="00120A28">
              <w:t xml:space="preserve"> </w:t>
            </w:r>
          </w:p>
        </w:tc>
        <w:tc>
          <w:tcPr>
            <w:tcW w:w="2174" w:type="dxa"/>
          </w:tcPr>
          <w:p w14:paraId="45038F29" w14:textId="2239703C" w:rsidR="008A38A6" w:rsidRPr="00150CE0" w:rsidRDefault="008A38A6" w:rsidP="007F6FF1">
            <w:r w:rsidRPr="00150CE0">
              <w:t>Communications and Engagement</w:t>
            </w:r>
          </w:p>
        </w:tc>
        <w:tc>
          <w:tcPr>
            <w:tcW w:w="1640" w:type="dxa"/>
          </w:tcPr>
          <w:p w14:paraId="3497F82E" w14:textId="109380BF" w:rsidR="008A38A6" w:rsidRPr="00150CE0" w:rsidRDefault="008A38A6" w:rsidP="007F6FF1">
            <w:r w:rsidRPr="00150CE0">
              <w:t xml:space="preserve">Annually </w:t>
            </w:r>
          </w:p>
        </w:tc>
        <w:tc>
          <w:tcPr>
            <w:tcW w:w="2365" w:type="dxa"/>
          </w:tcPr>
          <w:p w14:paraId="3B96C5B6" w14:textId="05BED5CA" w:rsidR="008A38A6" w:rsidRPr="00150CE0" w:rsidRDefault="008A38A6" w:rsidP="007F6FF1">
            <w:r w:rsidRPr="00150CE0">
              <w:t xml:space="preserve">Annual promotion and participation in International Day of People with Disability. </w:t>
            </w:r>
          </w:p>
        </w:tc>
      </w:tr>
      <w:tr w:rsidR="008A38A6" w14:paraId="56B63309" w14:textId="77777777" w:rsidTr="00D94D43">
        <w:trPr>
          <w:cantSplit/>
        </w:trPr>
        <w:tc>
          <w:tcPr>
            <w:tcW w:w="736" w:type="dxa"/>
          </w:tcPr>
          <w:p w14:paraId="7FAF4A00" w14:textId="4F913DC7" w:rsidR="008A38A6" w:rsidRDefault="008A38A6" w:rsidP="007F6FF1">
            <w:r>
              <w:t>2.4</w:t>
            </w:r>
          </w:p>
        </w:tc>
        <w:tc>
          <w:tcPr>
            <w:tcW w:w="2617" w:type="dxa"/>
          </w:tcPr>
          <w:p w14:paraId="02B6F0E4" w14:textId="5241EE95" w:rsidR="008A38A6" w:rsidRPr="00150CE0" w:rsidRDefault="008A38A6" w:rsidP="007F6FF1">
            <w:r w:rsidRPr="00150CE0">
              <w:t>We will promote the positive representation of women with disability in Office for Women materials that promote community understanding and awareness.</w:t>
            </w:r>
          </w:p>
        </w:tc>
        <w:tc>
          <w:tcPr>
            <w:tcW w:w="2174" w:type="dxa"/>
          </w:tcPr>
          <w:p w14:paraId="3F441D4A" w14:textId="466A9E33" w:rsidR="008A38A6" w:rsidRPr="00150CE0" w:rsidRDefault="008A38A6" w:rsidP="007F6FF1">
            <w:r w:rsidRPr="00150CE0">
              <w:t>Office for Women</w:t>
            </w:r>
          </w:p>
        </w:tc>
        <w:tc>
          <w:tcPr>
            <w:tcW w:w="1640" w:type="dxa"/>
          </w:tcPr>
          <w:p w14:paraId="1A082F41" w14:textId="0343DCBA" w:rsidR="008A38A6" w:rsidRPr="00150CE0" w:rsidRDefault="008A38A6" w:rsidP="007F6FF1">
            <w:r w:rsidRPr="00150CE0">
              <w:t>December 2021</w:t>
            </w:r>
          </w:p>
        </w:tc>
        <w:tc>
          <w:tcPr>
            <w:tcW w:w="2365" w:type="dxa"/>
          </w:tcPr>
          <w:p w14:paraId="5D778903" w14:textId="05C03A1A" w:rsidR="008A38A6" w:rsidRPr="00150CE0" w:rsidRDefault="008A38A6" w:rsidP="007F6FF1">
            <w:r w:rsidRPr="00150CE0">
              <w:t>New materials positively represent women with disability.</w:t>
            </w:r>
          </w:p>
          <w:p w14:paraId="754AEEC0" w14:textId="4DD00FD5" w:rsidR="008A38A6" w:rsidRPr="00150CE0" w:rsidRDefault="008A38A6" w:rsidP="007F6FF1">
            <w:r w:rsidRPr="00150CE0">
              <w:t>Existing materials are reviewed and updated to positively represent women with disability.</w:t>
            </w:r>
          </w:p>
        </w:tc>
      </w:tr>
      <w:tr w:rsidR="008A38A6" w14:paraId="0AEBAF0A" w14:textId="77777777" w:rsidTr="00D94D43">
        <w:trPr>
          <w:cantSplit/>
        </w:trPr>
        <w:tc>
          <w:tcPr>
            <w:tcW w:w="736" w:type="dxa"/>
          </w:tcPr>
          <w:p w14:paraId="54681828" w14:textId="4FFF2E9A" w:rsidR="008A38A6" w:rsidRDefault="008A38A6" w:rsidP="007F6FF1">
            <w:r>
              <w:lastRenderedPageBreak/>
              <w:t>2.5</w:t>
            </w:r>
          </w:p>
        </w:tc>
        <w:tc>
          <w:tcPr>
            <w:tcW w:w="2617" w:type="dxa"/>
          </w:tcPr>
          <w:p w14:paraId="38739C82" w14:textId="43DD24E6" w:rsidR="008A38A6" w:rsidRPr="00150CE0" w:rsidRDefault="008A38A6" w:rsidP="007F6FF1">
            <w:r w:rsidRPr="00150CE0">
              <w:t>We will ensure, where appropriate, that clients of Accommodation Services meet and have an opportunity to know their neighbours, to increase and promote disability understanding and awareness and encourage inclusive communities</w:t>
            </w:r>
          </w:p>
        </w:tc>
        <w:tc>
          <w:tcPr>
            <w:tcW w:w="2174" w:type="dxa"/>
          </w:tcPr>
          <w:p w14:paraId="4648093C" w14:textId="47EDC939" w:rsidR="008A38A6" w:rsidRPr="00150CE0" w:rsidRDefault="008A38A6" w:rsidP="007F6FF1">
            <w:r w:rsidRPr="00150CE0">
              <w:t>Accommodation Services</w:t>
            </w:r>
          </w:p>
        </w:tc>
        <w:tc>
          <w:tcPr>
            <w:tcW w:w="1640" w:type="dxa"/>
          </w:tcPr>
          <w:p w14:paraId="54970CC0" w14:textId="084D5EE9" w:rsidR="008A38A6" w:rsidRPr="00150CE0" w:rsidRDefault="008A38A6" w:rsidP="007F6FF1">
            <w:r w:rsidRPr="00150CE0">
              <w:t>December 2021</w:t>
            </w:r>
          </w:p>
        </w:tc>
        <w:tc>
          <w:tcPr>
            <w:tcW w:w="2365" w:type="dxa"/>
          </w:tcPr>
          <w:p w14:paraId="41D1064E" w14:textId="5801EF73" w:rsidR="008A38A6" w:rsidRPr="00150CE0" w:rsidRDefault="0051535B" w:rsidP="007F6FF1">
            <w:r w:rsidRPr="0051535B">
              <w:t>Capacity Building Officers will meet with all client</w:t>
            </w:r>
            <w:r w:rsidR="000D17EA">
              <w:t>s</w:t>
            </w:r>
            <w:r w:rsidRPr="0051535B">
              <w:t xml:space="preserve"> of A</w:t>
            </w:r>
            <w:r>
              <w:t>ccommodation Services</w:t>
            </w:r>
            <w:r w:rsidRPr="0051535B">
              <w:t xml:space="preserve"> to assist with community connections, build the capacity of clients and access external advocacy and friends in their lives.</w:t>
            </w:r>
          </w:p>
        </w:tc>
      </w:tr>
    </w:tbl>
    <w:p w14:paraId="641B6EEE" w14:textId="0B7B9A99" w:rsidR="004D3C13" w:rsidRDefault="004D3C13" w:rsidP="007F6FF1"/>
    <w:p w14:paraId="20E11A6D" w14:textId="77777777" w:rsidR="007D67A1" w:rsidRDefault="00DE3A93" w:rsidP="007F6FF1">
      <w:hyperlink w:anchor="_DHS_actions" w:history="1">
        <w:r w:rsidR="007D67A1" w:rsidRPr="003B5C78">
          <w:rPr>
            <w:rStyle w:val="Hyperlink"/>
          </w:rPr>
          <w:t>Back to top</w:t>
        </w:r>
      </w:hyperlink>
    </w:p>
    <w:p w14:paraId="077313AB" w14:textId="77777777" w:rsidR="0036500B" w:rsidRDefault="008A38A6" w:rsidP="00D2626A">
      <w:pPr>
        <w:pStyle w:val="Heading4"/>
      </w:pPr>
      <w:r w:rsidRPr="00390B09">
        <w:t xml:space="preserve">Priority </w:t>
      </w:r>
      <w:r>
        <w:t>3</w:t>
      </w:r>
      <w:r w:rsidRPr="00390B09">
        <w:t xml:space="preserve">: </w:t>
      </w:r>
      <w:r w:rsidRPr="008A38A6">
        <w:t>Promoting the rights of people living with disability</w:t>
      </w:r>
    </w:p>
    <w:tbl>
      <w:tblPr>
        <w:tblStyle w:val="TableGrid"/>
        <w:tblW w:w="4950" w:type="pct"/>
        <w:tblLook w:val="04A0" w:firstRow="1" w:lastRow="0" w:firstColumn="1" w:lastColumn="0" w:noHBand="0" w:noVBand="1"/>
      </w:tblPr>
      <w:tblGrid>
        <w:gridCol w:w="800"/>
        <w:gridCol w:w="2873"/>
        <w:gridCol w:w="2198"/>
        <w:gridCol w:w="1694"/>
        <w:gridCol w:w="2527"/>
      </w:tblGrid>
      <w:tr w:rsidR="00120A28" w:rsidRPr="00120A28" w14:paraId="5E28C9C7" w14:textId="77777777" w:rsidTr="00D2626A">
        <w:trPr>
          <w:cantSplit/>
          <w:tblHeader/>
        </w:trPr>
        <w:tc>
          <w:tcPr>
            <w:tcW w:w="800" w:type="dxa"/>
          </w:tcPr>
          <w:p w14:paraId="01325218" w14:textId="77777777" w:rsidR="00120A28" w:rsidRPr="00120A28" w:rsidRDefault="00120A28" w:rsidP="00844B09">
            <w:pPr>
              <w:pStyle w:val="Table-Header"/>
            </w:pPr>
            <w:r w:rsidRPr="00120A28">
              <w:t xml:space="preserve">No. </w:t>
            </w:r>
          </w:p>
        </w:tc>
        <w:tc>
          <w:tcPr>
            <w:tcW w:w="2873" w:type="dxa"/>
          </w:tcPr>
          <w:p w14:paraId="02840BB5" w14:textId="77777777" w:rsidR="00120A28" w:rsidRPr="00120A28" w:rsidRDefault="00120A28" w:rsidP="00844B09">
            <w:pPr>
              <w:pStyle w:val="Table-Header"/>
            </w:pPr>
            <w:r w:rsidRPr="00120A28">
              <w:t>Action</w:t>
            </w:r>
          </w:p>
        </w:tc>
        <w:tc>
          <w:tcPr>
            <w:tcW w:w="2198" w:type="dxa"/>
          </w:tcPr>
          <w:p w14:paraId="1EC1DFF2" w14:textId="77777777" w:rsidR="00120A28" w:rsidRPr="00120A28" w:rsidRDefault="00120A28" w:rsidP="00844B09">
            <w:pPr>
              <w:pStyle w:val="Table-Header"/>
            </w:pPr>
            <w:r w:rsidRPr="00120A28">
              <w:t>Lead Directorate</w:t>
            </w:r>
          </w:p>
        </w:tc>
        <w:tc>
          <w:tcPr>
            <w:tcW w:w="1694" w:type="dxa"/>
          </w:tcPr>
          <w:p w14:paraId="0EB906F1" w14:textId="77777777" w:rsidR="00120A28" w:rsidRPr="00120A28" w:rsidRDefault="00120A28" w:rsidP="00844B09">
            <w:pPr>
              <w:pStyle w:val="Table-Header"/>
            </w:pPr>
            <w:r w:rsidRPr="00120A28">
              <w:t>Timeframe</w:t>
            </w:r>
          </w:p>
        </w:tc>
        <w:tc>
          <w:tcPr>
            <w:tcW w:w="2527" w:type="dxa"/>
          </w:tcPr>
          <w:p w14:paraId="6B4C0355" w14:textId="77777777" w:rsidR="00120A28" w:rsidRPr="00120A28" w:rsidRDefault="00120A28" w:rsidP="00844B09">
            <w:pPr>
              <w:pStyle w:val="Table-Header"/>
            </w:pPr>
            <w:r w:rsidRPr="00120A28">
              <w:t>Target</w:t>
            </w:r>
          </w:p>
        </w:tc>
      </w:tr>
      <w:tr w:rsidR="00120A28" w14:paraId="40DB0D47" w14:textId="77777777" w:rsidTr="00D2626A">
        <w:trPr>
          <w:cantSplit/>
        </w:trPr>
        <w:tc>
          <w:tcPr>
            <w:tcW w:w="800" w:type="dxa"/>
          </w:tcPr>
          <w:p w14:paraId="5DD1BD1E" w14:textId="78C9BC45" w:rsidR="00120A28" w:rsidRDefault="00120A28" w:rsidP="007F6FF1">
            <w:r>
              <w:t>3.1</w:t>
            </w:r>
          </w:p>
        </w:tc>
        <w:tc>
          <w:tcPr>
            <w:tcW w:w="2873" w:type="dxa"/>
          </w:tcPr>
          <w:p w14:paraId="52512255" w14:textId="2DD09C1D" w:rsidR="00120A28" w:rsidRDefault="00120A28" w:rsidP="007F6FF1">
            <w:r w:rsidRPr="00390B09">
              <w:t>We will negotiate with our building landlords to consider modifications to improve access to buildings for people and employees with disability.</w:t>
            </w:r>
          </w:p>
        </w:tc>
        <w:tc>
          <w:tcPr>
            <w:tcW w:w="2198" w:type="dxa"/>
          </w:tcPr>
          <w:p w14:paraId="0D9EE914" w14:textId="3701D2B0" w:rsidR="00120A28" w:rsidRDefault="00120A28" w:rsidP="007F6FF1">
            <w:r w:rsidRPr="00390B09">
              <w:t xml:space="preserve">Infrastructure </w:t>
            </w:r>
          </w:p>
        </w:tc>
        <w:tc>
          <w:tcPr>
            <w:tcW w:w="1694" w:type="dxa"/>
          </w:tcPr>
          <w:p w14:paraId="246061B5" w14:textId="5BFC6EB8" w:rsidR="00120A28" w:rsidRDefault="00120A28" w:rsidP="007F6FF1">
            <w:r w:rsidRPr="00390B09">
              <w:t>June 2021</w:t>
            </w:r>
          </w:p>
        </w:tc>
        <w:tc>
          <w:tcPr>
            <w:tcW w:w="2527" w:type="dxa"/>
          </w:tcPr>
          <w:p w14:paraId="7D97BA82" w14:textId="7E307F4D" w:rsidR="00120A28" w:rsidRDefault="00120A28" w:rsidP="007F6FF1">
            <w:r w:rsidRPr="00390B09">
              <w:rPr>
                <w:rFonts w:eastAsia="Arial"/>
              </w:rPr>
              <w:t>All physical barriers identified and negotiated with a plan in place to address barriers.</w:t>
            </w:r>
          </w:p>
        </w:tc>
      </w:tr>
      <w:tr w:rsidR="00120A28" w14:paraId="7F029FBC" w14:textId="77777777" w:rsidTr="00D2626A">
        <w:trPr>
          <w:cantSplit/>
        </w:trPr>
        <w:tc>
          <w:tcPr>
            <w:tcW w:w="800" w:type="dxa"/>
          </w:tcPr>
          <w:p w14:paraId="2E9946F8" w14:textId="4CC86D37" w:rsidR="00120A28" w:rsidRDefault="00120A28" w:rsidP="007F6FF1">
            <w:r>
              <w:t>3.2</w:t>
            </w:r>
          </w:p>
        </w:tc>
        <w:tc>
          <w:tcPr>
            <w:tcW w:w="2873" w:type="dxa"/>
          </w:tcPr>
          <w:p w14:paraId="49445A55" w14:textId="7BDB4A56" w:rsidR="00120A28" w:rsidRDefault="00120A28" w:rsidP="007F6FF1">
            <w:r w:rsidRPr="00390B09">
              <w:t xml:space="preserve">We will </w:t>
            </w:r>
            <w:r>
              <w:t>contribute to</w:t>
            </w:r>
            <w:r w:rsidRPr="00390B09">
              <w:t xml:space="preserve"> </w:t>
            </w:r>
            <w:r w:rsidRPr="009644AD">
              <w:rPr>
                <w:b/>
                <w:bCs/>
              </w:rPr>
              <w:t>action 9 of Inclusive SA</w:t>
            </w:r>
            <w:r>
              <w:t xml:space="preserve"> and ensure </w:t>
            </w:r>
            <w:r w:rsidRPr="00390B09">
              <w:t>the induction of all new employees includes information about working with diversity and people living with disability.</w:t>
            </w:r>
          </w:p>
        </w:tc>
        <w:tc>
          <w:tcPr>
            <w:tcW w:w="2198" w:type="dxa"/>
          </w:tcPr>
          <w:p w14:paraId="5E4A383B" w14:textId="26BFBA6F" w:rsidR="00120A28" w:rsidRDefault="00120A28" w:rsidP="007F6FF1">
            <w:r w:rsidRPr="00390B09">
              <w:t xml:space="preserve">Organisational Development </w:t>
            </w:r>
          </w:p>
        </w:tc>
        <w:tc>
          <w:tcPr>
            <w:tcW w:w="1694" w:type="dxa"/>
          </w:tcPr>
          <w:p w14:paraId="605C28F7" w14:textId="245FEB19" w:rsidR="00120A28" w:rsidRDefault="00120A28" w:rsidP="007F6FF1">
            <w:r w:rsidRPr="00390B09">
              <w:t>Ongoing</w:t>
            </w:r>
          </w:p>
        </w:tc>
        <w:tc>
          <w:tcPr>
            <w:tcW w:w="2527" w:type="dxa"/>
          </w:tcPr>
          <w:p w14:paraId="0ECAEF75" w14:textId="01016244" w:rsidR="00120A28" w:rsidRPr="00390B09" w:rsidRDefault="00120A28" w:rsidP="007F6FF1">
            <w:pPr>
              <w:rPr>
                <w:rFonts w:eastAsia="Arial"/>
              </w:rPr>
            </w:pPr>
            <w:r w:rsidRPr="00390B09">
              <w:rPr>
                <w:rFonts w:eastAsia="Arial"/>
              </w:rPr>
              <w:t xml:space="preserve">100 </w:t>
            </w:r>
            <w:r w:rsidR="004A4260">
              <w:rPr>
                <w:rFonts w:eastAsia="Arial"/>
              </w:rPr>
              <w:t>percent</w:t>
            </w:r>
            <w:r>
              <w:rPr>
                <w:rFonts w:eastAsia="Arial"/>
              </w:rPr>
              <w:t xml:space="preserve"> </w:t>
            </w:r>
            <w:r w:rsidRPr="00390B09">
              <w:rPr>
                <w:rFonts w:eastAsia="Arial"/>
              </w:rPr>
              <w:t xml:space="preserve">completion rates of our induction program for all new employees. </w:t>
            </w:r>
          </w:p>
          <w:p w14:paraId="70837A95" w14:textId="45B7FBDE" w:rsidR="00120A28" w:rsidRDefault="00120A28" w:rsidP="007F6FF1">
            <w:r w:rsidRPr="00390B09">
              <w:rPr>
                <w:rFonts w:eastAsia="Arial"/>
              </w:rPr>
              <w:t xml:space="preserve">100 </w:t>
            </w:r>
            <w:r w:rsidR="004A4260">
              <w:rPr>
                <w:rFonts w:eastAsia="Arial"/>
              </w:rPr>
              <w:t>percent</w:t>
            </w:r>
            <w:r>
              <w:rPr>
                <w:rFonts w:eastAsia="Arial"/>
              </w:rPr>
              <w:t xml:space="preserve"> </w:t>
            </w:r>
            <w:r w:rsidRPr="00390B09">
              <w:rPr>
                <w:rFonts w:eastAsia="Arial"/>
              </w:rPr>
              <w:t xml:space="preserve">completion rate for employees required to complete Mental Health First Aid training. </w:t>
            </w:r>
          </w:p>
        </w:tc>
      </w:tr>
      <w:tr w:rsidR="00120A28" w14:paraId="0FCF86C1" w14:textId="77777777" w:rsidTr="00D2626A">
        <w:trPr>
          <w:cantSplit/>
        </w:trPr>
        <w:tc>
          <w:tcPr>
            <w:tcW w:w="800" w:type="dxa"/>
          </w:tcPr>
          <w:p w14:paraId="22B6E802" w14:textId="7F17C1CB" w:rsidR="00120A28" w:rsidRDefault="00120A28" w:rsidP="007F6FF1">
            <w:r>
              <w:t>3.3</w:t>
            </w:r>
          </w:p>
        </w:tc>
        <w:tc>
          <w:tcPr>
            <w:tcW w:w="2873" w:type="dxa"/>
          </w:tcPr>
          <w:p w14:paraId="5DEF602E" w14:textId="28824E2C" w:rsidR="00120A28" w:rsidRDefault="00120A28" w:rsidP="007F6FF1">
            <w:r w:rsidRPr="00390B09">
              <w:t>We will train Accommodation Services staff on NDIS policies and procedures to ensure clients are supported to exercise choice and control in accessing the NDIS and that their rights are upheld.</w:t>
            </w:r>
          </w:p>
        </w:tc>
        <w:tc>
          <w:tcPr>
            <w:tcW w:w="2198" w:type="dxa"/>
          </w:tcPr>
          <w:p w14:paraId="43499B2E" w14:textId="29FDBB3D" w:rsidR="00120A28" w:rsidRDefault="00120A28" w:rsidP="007F6FF1">
            <w:r w:rsidRPr="00390B09">
              <w:t>Accommodation Services</w:t>
            </w:r>
          </w:p>
        </w:tc>
        <w:tc>
          <w:tcPr>
            <w:tcW w:w="1694" w:type="dxa"/>
          </w:tcPr>
          <w:p w14:paraId="79D2FEB6" w14:textId="0604D10E" w:rsidR="00120A28" w:rsidRDefault="00120A28" w:rsidP="007F6FF1">
            <w:r w:rsidRPr="00390B09">
              <w:t xml:space="preserve">December 2020 </w:t>
            </w:r>
          </w:p>
        </w:tc>
        <w:tc>
          <w:tcPr>
            <w:tcW w:w="2527" w:type="dxa"/>
          </w:tcPr>
          <w:p w14:paraId="54139F35" w14:textId="01D4BAEA" w:rsidR="00120A28" w:rsidRDefault="00120A28" w:rsidP="007F6FF1">
            <w:r w:rsidRPr="00390B09">
              <w:rPr>
                <w:rFonts w:eastAsiaTheme="majorEastAsia"/>
              </w:rPr>
              <w:t>Internal training resources are developed, and training schedule implemented on an ongoing basis.</w:t>
            </w:r>
          </w:p>
        </w:tc>
      </w:tr>
      <w:tr w:rsidR="00120A28" w14:paraId="6DB8AFCD" w14:textId="77777777" w:rsidTr="00D2626A">
        <w:trPr>
          <w:cantSplit/>
        </w:trPr>
        <w:tc>
          <w:tcPr>
            <w:tcW w:w="800" w:type="dxa"/>
          </w:tcPr>
          <w:p w14:paraId="27714D11" w14:textId="66B93B86" w:rsidR="00120A28" w:rsidRPr="00120A28" w:rsidRDefault="00120A28" w:rsidP="007F6FF1">
            <w:r w:rsidRPr="00120A28">
              <w:lastRenderedPageBreak/>
              <w:t>3.4</w:t>
            </w:r>
          </w:p>
        </w:tc>
        <w:tc>
          <w:tcPr>
            <w:tcW w:w="2873" w:type="dxa"/>
          </w:tcPr>
          <w:p w14:paraId="40A64C6F" w14:textId="17148B78" w:rsidR="00120A28" w:rsidRPr="00120A28" w:rsidRDefault="00120A28" w:rsidP="007F6FF1">
            <w:r w:rsidRPr="00120A28">
              <w:t>We will ensure departmental complaints systems are accessible to people with disability.</w:t>
            </w:r>
          </w:p>
        </w:tc>
        <w:tc>
          <w:tcPr>
            <w:tcW w:w="2198" w:type="dxa"/>
          </w:tcPr>
          <w:p w14:paraId="46CF0E33" w14:textId="0A37333E" w:rsidR="00120A28" w:rsidRPr="00120A28" w:rsidRDefault="00120A28" w:rsidP="007F6FF1">
            <w:r w:rsidRPr="00120A28">
              <w:t>Office of the Chief Executive</w:t>
            </w:r>
          </w:p>
        </w:tc>
        <w:tc>
          <w:tcPr>
            <w:tcW w:w="1694" w:type="dxa"/>
          </w:tcPr>
          <w:p w14:paraId="62068464" w14:textId="02B5914B" w:rsidR="00120A28" w:rsidRPr="00120A28" w:rsidRDefault="00120A28" w:rsidP="007F6FF1">
            <w:r w:rsidRPr="00120A28">
              <w:t>December 2020</w:t>
            </w:r>
          </w:p>
        </w:tc>
        <w:tc>
          <w:tcPr>
            <w:tcW w:w="2527" w:type="dxa"/>
          </w:tcPr>
          <w:p w14:paraId="0A938D77" w14:textId="77777777" w:rsidR="00120A28" w:rsidRPr="00120A28" w:rsidRDefault="00120A28" w:rsidP="007F6FF1">
            <w:pPr>
              <w:rPr>
                <w:rFonts w:eastAsiaTheme="majorEastAsia"/>
              </w:rPr>
            </w:pPr>
            <w:r w:rsidRPr="00120A28">
              <w:rPr>
                <w:rFonts w:eastAsiaTheme="majorEastAsia"/>
              </w:rPr>
              <w:t>Departmental complaints materials and pathways are reviewed to support accessibility.</w:t>
            </w:r>
          </w:p>
          <w:p w14:paraId="7A3F6954" w14:textId="59A6CFF2" w:rsidR="00120A28" w:rsidRPr="00512AE7" w:rsidRDefault="00120A28" w:rsidP="007F6FF1">
            <w:r w:rsidRPr="00120A28">
              <w:rPr>
                <w:rFonts w:eastAsiaTheme="majorEastAsia"/>
              </w:rPr>
              <w:t>Local complaint procedures are in place in each division that support accessibility for people with disability.</w:t>
            </w:r>
          </w:p>
        </w:tc>
      </w:tr>
      <w:tr w:rsidR="00120A28" w14:paraId="541A7C78" w14:textId="77777777" w:rsidTr="00D2626A">
        <w:trPr>
          <w:cantSplit/>
        </w:trPr>
        <w:tc>
          <w:tcPr>
            <w:tcW w:w="800" w:type="dxa"/>
          </w:tcPr>
          <w:p w14:paraId="30A063D3" w14:textId="29C85CCF" w:rsidR="00120A28" w:rsidRPr="00120A28" w:rsidRDefault="00120A28" w:rsidP="007F6FF1">
            <w:r>
              <w:t>3.5</w:t>
            </w:r>
          </w:p>
        </w:tc>
        <w:tc>
          <w:tcPr>
            <w:tcW w:w="2873" w:type="dxa"/>
          </w:tcPr>
          <w:p w14:paraId="142270B1" w14:textId="6348FFE7" w:rsidR="00120A28" w:rsidRPr="00120A28" w:rsidRDefault="00120A28" w:rsidP="007F6FF1">
            <w:r w:rsidRPr="00390B09">
              <w:t>We will continue to regularly review materials to ensure delivery of meaningful and ongoing training to all staff, based on core trauma</w:t>
            </w:r>
            <w:r w:rsidR="004D0581">
              <w:t>-</w:t>
            </w:r>
            <w:r w:rsidRPr="00390B09">
              <w:t>informed principles that prioritise safety, trust, choice, collaboration, empowerment and respect for diversity.</w:t>
            </w:r>
          </w:p>
        </w:tc>
        <w:tc>
          <w:tcPr>
            <w:tcW w:w="2198" w:type="dxa"/>
          </w:tcPr>
          <w:p w14:paraId="4281B1F7" w14:textId="53435538" w:rsidR="00120A28" w:rsidRPr="00390B09" w:rsidRDefault="00120A28" w:rsidP="007F6FF1">
            <w:r w:rsidRPr="00390B09">
              <w:t>Organisational Development</w:t>
            </w:r>
            <w:r w:rsidR="00057C43">
              <w:t xml:space="preserve"> and Accommodation Services</w:t>
            </w:r>
          </w:p>
          <w:p w14:paraId="084A0461" w14:textId="77777777" w:rsidR="00120A28" w:rsidRPr="00120A28" w:rsidRDefault="00120A28" w:rsidP="007F6FF1"/>
        </w:tc>
        <w:tc>
          <w:tcPr>
            <w:tcW w:w="1694" w:type="dxa"/>
          </w:tcPr>
          <w:p w14:paraId="04952807" w14:textId="0025AB2C" w:rsidR="00120A28" w:rsidRPr="00390B09" w:rsidRDefault="00120A28" w:rsidP="007F6FF1">
            <w:r w:rsidRPr="00390B09">
              <w:t>Review of materials complete</w:t>
            </w:r>
            <w:r>
              <w:t>.</w:t>
            </w:r>
          </w:p>
          <w:p w14:paraId="1A96BB0F" w14:textId="55BA10E1" w:rsidR="00120A28" w:rsidRPr="00120A28" w:rsidRDefault="00120A28" w:rsidP="007F6FF1">
            <w:r w:rsidRPr="00390B09">
              <w:t>Ongoing annual review</w:t>
            </w:r>
            <w:r w:rsidR="00083F7F">
              <w:t>.</w:t>
            </w:r>
          </w:p>
        </w:tc>
        <w:tc>
          <w:tcPr>
            <w:tcW w:w="2527" w:type="dxa"/>
          </w:tcPr>
          <w:p w14:paraId="19FE6B74" w14:textId="77777777" w:rsidR="00120A28" w:rsidRDefault="00120A28" w:rsidP="007F6FF1">
            <w:pPr>
              <w:rPr>
                <w:rFonts w:eastAsiaTheme="majorEastAsia"/>
              </w:rPr>
            </w:pPr>
            <w:r w:rsidRPr="00390B09">
              <w:rPr>
                <w:rFonts w:eastAsiaTheme="majorEastAsia"/>
              </w:rPr>
              <w:t>Partner with disability service providers and other agencies with disability expertise to ensure training packages for staff remain current and contemporary.</w:t>
            </w:r>
          </w:p>
          <w:p w14:paraId="2392DC4F" w14:textId="29215052" w:rsidR="00057C43" w:rsidRPr="00120A28" w:rsidRDefault="00057C43" w:rsidP="007F6FF1">
            <w:pPr>
              <w:rPr>
                <w:rFonts w:eastAsiaTheme="majorEastAsia"/>
              </w:rPr>
            </w:pPr>
            <w:r w:rsidRPr="00057C43">
              <w:rPr>
                <w:rFonts w:eastAsiaTheme="majorEastAsia"/>
              </w:rPr>
              <w:t xml:space="preserve">Accommodation Services will develop and promote the Customer Charter that asserts the rights and responsibilities of the service to the people we support. This includes an </w:t>
            </w:r>
            <w:r w:rsidR="00122E9D">
              <w:rPr>
                <w:rFonts w:eastAsiaTheme="majorEastAsia"/>
              </w:rPr>
              <w:t>easy read</w:t>
            </w:r>
            <w:r w:rsidRPr="00057C43">
              <w:rPr>
                <w:rFonts w:eastAsiaTheme="majorEastAsia"/>
              </w:rPr>
              <w:t xml:space="preserve"> Customer Charter.  </w:t>
            </w:r>
          </w:p>
        </w:tc>
      </w:tr>
    </w:tbl>
    <w:p w14:paraId="3F9C3A5F" w14:textId="453A5ABC" w:rsidR="008C1E56" w:rsidRDefault="008C1E56" w:rsidP="007F6FF1"/>
    <w:p w14:paraId="76BF8FD3" w14:textId="77777777" w:rsidR="007D67A1" w:rsidRDefault="00DE3A93" w:rsidP="007F6FF1">
      <w:hyperlink w:anchor="_DHS_actions" w:history="1">
        <w:r w:rsidR="007D67A1" w:rsidRPr="003B5C78">
          <w:rPr>
            <w:rStyle w:val="Hyperlink"/>
          </w:rPr>
          <w:t>Back to top</w:t>
        </w:r>
      </w:hyperlink>
    </w:p>
    <w:p w14:paraId="164C10BB" w14:textId="0CC6E08E" w:rsidR="00F600E0" w:rsidRPr="00ED4DFC" w:rsidRDefault="00F600E0" w:rsidP="00DE3A93">
      <w:pPr>
        <w:pStyle w:val="Heading3"/>
      </w:pPr>
      <w:bookmarkStart w:id="23" w:name="_Toc53041871"/>
      <w:r w:rsidRPr="00ED4DFC">
        <w:t xml:space="preserve">Theme </w:t>
      </w:r>
      <w:r>
        <w:t>Two</w:t>
      </w:r>
      <w:r w:rsidRPr="00ED4DFC">
        <w:t xml:space="preserve">: </w:t>
      </w:r>
      <w:r w:rsidR="00383AA1">
        <w:t>Leadership and collaboration</w:t>
      </w:r>
      <w:bookmarkEnd w:id="23"/>
    </w:p>
    <w:p w14:paraId="41C81BEB" w14:textId="77777777" w:rsidR="00F600E0" w:rsidRPr="00F600E0" w:rsidRDefault="00F600E0" w:rsidP="007F6FF1">
      <w:pPr>
        <w:rPr>
          <w:b/>
          <w:bCs/>
        </w:rPr>
      </w:pPr>
      <w:r w:rsidRPr="00F600E0">
        <w:t xml:space="preserve">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 </w:t>
      </w:r>
    </w:p>
    <w:p w14:paraId="3AA2ED29" w14:textId="6A569964" w:rsidR="00F600E0" w:rsidRDefault="00F600E0" w:rsidP="007F6FF1">
      <w:pPr>
        <w:rPr>
          <w:b/>
          <w:bCs/>
        </w:rPr>
      </w:pPr>
      <w:r w:rsidRPr="00F600E0">
        <w:t>DHS will support people with disability to have a greater role in influencing government and community decision</w:t>
      </w:r>
      <w:r w:rsidR="00083F7F">
        <w:t>-</w:t>
      </w:r>
      <w:r w:rsidRPr="00F600E0">
        <w:t>making and participating in consultation through the following actions</w:t>
      </w:r>
      <w:r w:rsidR="00083F7F">
        <w:t>.</w:t>
      </w:r>
    </w:p>
    <w:p w14:paraId="37A7E640" w14:textId="77777777" w:rsidR="00D2626A" w:rsidRDefault="00D2626A">
      <w:pPr>
        <w:spacing w:after="200" w:line="288" w:lineRule="auto"/>
        <w:rPr>
          <w:rFonts w:eastAsiaTheme="majorEastAsia" w:cs="Arial"/>
          <w:b/>
          <w:bCs/>
          <w:color w:val="000000" w:themeColor="text1"/>
          <w:sz w:val="32"/>
          <w:szCs w:val="32"/>
        </w:rPr>
      </w:pPr>
      <w:r>
        <w:br w:type="page"/>
      </w:r>
    </w:p>
    <w:p w14:paraId="749EFA17" w14:textId="31A23A6B" w:rsidR="00F600E0" w:rsidRPr="0016108A" w:rsidRDefault="00F600E0" w:rsidP="00D2626A">
      <w:pPr>
        <w:pStyle w:val="Heading4"/>
      </w:pPr>
      <w:r w:rsidRPr="0016108A">
        <w:lastRenderedPageBreak/>
        <w:t xml:space="preserve">Priority </w:t>
      </w:r>
      <w:r>
        <w:t>4</w:t>
      </w:r>
      <w:r w:rsidRPr="0016108A">
        <w:t xml:space="preserve">: </w:t>
      </w:r>
      <w:r w:rsidRPr="00390B09">
        <w:t>Participation in decision-making</w:t>
      </w:r>
    </w:p>
    <w:tbl>
      <w:tblPr>
        <w:tblStyle w:val="TableGrid"/>
        <w:tblW w:w="4950" w:type="pct"/>
        <w:tblLook w:val="04A0" w:firstRow="1" w:lastRow="0" w:firstColumn="1" w:lastColumn="0" w:noHBand="0" w:noVBand="1"/>
      </w:tblPr>
      <w:tblGrid>
        <w:gridCol w:w="762"/>
        <w:gridCol w:w="2943"/>
        <w:gridCol w:w="2154"/>
        <w:gridCol w:w="1633"/>
        <w:gridCol w:w="2600"/>
      </w:tblGrid>
      <w:tr w:rsidR="00F600E0" w:rsidRPr="00120A28" w14:paraId="45C4444D" w14:textId="77777777" w:rsidTr="00D2626A">
        <w:trPr>
          <w:cantSplit/>
          <w:tblHeader/>
        </w:trPr>
        <w:tc>
          <w:tcPr>
            <w:tcW w:w="762" w:type="dxa"/>
          </w:tcPr>
          <w:p w14:paraId="62EA89F9" w14:textId="77777777" w:rsidR="00F600E0" w:rsidRPr="00120A28" w:rsidRDefault="00F600E0" w:rsidP="00844B09">
            <w:pPr>
              <w:pStyle w:val="Table-Header"/>
            </w:pPr>
            <w:r w:rsidRPr="00120A28">
              <w:t xml:space="preserve">No. </w:t>
            </w:r>
          </w:p>
        </w:tc>
        <w:tc>
          <w:tcPr>
            <w:tcW w:w="2943" w:type="dxa"/>
          </w:tcPr>
          <w:p w14:paraId="5ABBF750" w14:textId="77777777" w:rsidR="00F600E0" w:rsidRPr="00120A28" w:rsidRDefault="00F600E0" w:rsidP="00844B09">
            <w:pPr>
              <w:pStyle w:val="Table-Header"/>
            </w:pPr>
            <w:r w:rsidRPr="00120A28">
              <w:t>Action</w:t>
            </w:r>
          </w:p>
        </w:tc>
        <w:tc>
          <w:tcPr>
            <w:tcW w:w="2154" w:type="dxa"/>
          </w:tcPr>
          <w:p w14:paraId="780B9A71" w14:textId="77777777" w:rsidR="00F600E0" w:rsidRPr="00120A28" w:rsidRDefault="00F600E0" w:rsidP="00844B09">
            <w:pPr>
              <w:pStyle w:val="Table-Header"/>
            </w:pPr>
            <w:r w:rsidRPr="00120A28">
              <w:t>Lead Directorate</w:t>
            </w:r>
          </w:p>
        </w:tc>
        <w:tc>
          <w:tcPr>
            <w:tcW w:w="1633" w:type="dxa"/>
          </w:tcPr>
          <w:p w14:paraId="7030CDD8" w14:textId="77777777" w:rsidR="00F600E0" w:rsidRPr="00120A28" w:rsidRDefault="00F600E0" w:rsidP="00844B09">
            <w:pPr>
              <w:pStyle w:val="Table-Header"/>
            </w:pPr>
            <w:r w:rsidRPr="00120A28">
              <w:t>Timeframe</w:t>
            </w:r>
          </w:p>
        </w:tc>
        <w:tc>
          <w:tcPr>
            <w:tcW w:w="2600" w:type="dxa"/>
          </w:tcPr>
          <w:p w14:paraId="1B55CDC8" w14:textId="77777777" w:rsidR="00F600E0" w:rsidRPr="00120A28" w:rsidRDefault="00F600E0" w:rsidP="00844B09">
            <w:pPr>
              <w:pStyle w:val="Table-Header"/>
            </w:pPr>
            <w:r w:rsidRPr="00120A28">
              <w:t>Target</w:t>
            </w:r>
          </w:p>
        </w:tc>
      </w:tr>
      <w:tr w:rsidR="00FF2FB6" w14:paraId="3E8B68B1" w14:textId="77777777" w:rsidTr="00D2626A">
        <w:trPr>
          <w:cantSplit/>
        </w:trPr>
        <w:tc>
          <w:tcPr>
            <w:tcW w:w="762" w:type="dxa"/>
          </w:tcPr>
          <w:p w14:paraId="157D253A" w14:textId="3D0A37EF" w:rsidR="00FF2FB6" w:rsidRDefault="00FF2FB6" w:rsidP="007F6FF1">
            <w:r>
              <w:t>4.1</w:t>
            </w:r>
          </w:p>
        </w:tc>
        <w:tc>
          <w:tcPr>
            <w:tcW w:w="2943" w:type="dxa"/>
          </w:tcPr>
          <w:p w14:paraId="321D8D94" w14:textId="132878F8" w:rsidR="00FF2FB6" w:rsidRPr="00390B09" w:rsidRDefault="00FF2FB6" w:rsidP="007F6FF1">
            <w:pPr>
              <w:rPr>
                <w:rFonts w:eastAsiaTheme="majorEastAsia"/>
              </w:rPr>
            </w:pPr>
            <w:r w:rsidRPr="00390B09">
              <w:rPr>
                <w:rFonts w:eastAsiaTheme="majorEastAsia"/>
              </w:rPr>
              <w:t xml:space="preserve">We </w:t>
            </w:r>
            <w:r>
              <w:rPr>
                <w:rFonts w:eastAsiaTheme="majorEastAsia"/>
              </w:rPr>
              <w:t xml:space="preserve">are working with Office of the Public Advocate to meet </w:t>
            </w:r>
            <w:r w:rsidRPr="00390B09">
              <w:rPr>
                <w:rFonts w:eastAsiaTheme="majorEastAsia"/>
                <w:b/>
                <w:bCs/>
              </w:rPr>
              <w:t>action 10 in Inclusive SA</w:t>
            </w:r>
            <w:r w:rsidRPr="00390B09">
              <w:rPr>
                <w:rFonts w:eastAsiaTheme="majorEastAsia"/>
              </w:rPr>
              <w:t xml:space="preserve"> by ensuring identified clients of Accommodation Services have a My Life decision plan/or project approved plan in place through a process of supported decision</w:t>
            </w:r>
            <w:r w:rsidR="00F74FE0">
              <w:rPr>
                <w:rFonts w:eastAsiaTheme="majorEastAsia"/>
              </w:rPr>
              <w:t>-</w:t>
            </w:r>
            <w:r w:rsidRPr="00390B09">
              <w:rPr>
                <w:rFonts w:eastAsiaTheme="majorEastAsia"/>
              </w:rPr>
              <w:t>making.</w:t>
            </w:r>
          </w:p>
          <w:p w14:paraId="7D09E115" w14:textId="4416BA0A" w:rsidR="00FF2FB6" w:rsidRDefault="00FF2FB6" w:rsidP="007F6FF1">
            <w:r w:rsidRPr="00390B09">
              <w:rPr>
                <w:rFonts w:eastAsiaTheme="majorEastAsia"/>
              </w:rPr>
              <w:t>We will share the learnings from this project with relevant S</w:t>
            </w:r>
            <w:r w:rsidR="00F74FE0">
              <w:rPr>
                <w:rFonts w:eastAsiaTheme="majorEastAsia"/>
              </w:rPr>
              <w:t>A</w:t>
            </w:r>
            <w:r w:rsidRPr="00390B09">
              <w:rPr>
                <w:rFonts w:eastAsiaTheme="majorEastAsia"/>
              </w:rPr>
              <w:t xml:space="preserve"> Government departments and local services.</w:t>
            </w:r>
          </w:p>
        </w:tc>
        <w:tc>
          <w:tcPr>
            <w:tcW w:w="2154" w:type="dxa"/>
          </w:tcPr>
          <w:p w14:paraId="7F0CD99D" w14:textId="05F81A36" w:rsidR="00FF2FB6" w:rsidRDefault="00FF2FB6" w:rsidP="007F6FF1">
            <w:r w:rsidRPr="00390B09">
              <w:t xml:space="preserve">Accommodation Services </w:t>
            </w:r>
          </w:p>
        </w:tc>
        <w:tc>
          <w:tcPr>
            <w:tcW w:w="1633" w:type="dxa"/>
          </w:tcPr>
          <w:p w14:paraId="266FC839" w14:textId="77777777" w:rsidR="0036500B" w:rsidRDefault="00FF2FB6" w:rsidP="007F6FF1">
            <w:r w:rsidRPr="00390B09">
              <w:t>December 2021</w:t>
            </w:r>
          </w:p>
          <w:p w14:paraId="3EA7DFA7" w14:textId="36CB0AF2" w:rsidR="00FF2FB6" w:rsidRPr="00390B09" w:rsidRDefault="00FF2FB6" w:rsidP="007F6FF1"/>
          <w:p w14:paraId="2B0546F6" w14:textId="493BD8CB" w:rsidR="00FF2FB6" w:rsidRDefault="00FF2FB6" w:rsidP="007F6FF1">
            <w:r w:rsidRPr="00390B09">
              <w:t xml:space="preserve">Ongoing </w:t>
            </w:r>
          </w:p>
        </w:tc>
        <w:tc>
          <w:tcPr>
            <w:tcW w:w="2600" w:type="dxa"/>
          </w:tcPr>
          <w:p w14:paraId="17F8B665" w14:textId="57DF0307" w:rsidR="00FF2FB6" w:rsidRPr="00390B09" w:rsidRDefault="00FF2FB6" w:rsidP="007F6FF1">
            <w:r w:rsidRPr="00390B09">
              <w:t xml:space="preserve">100 </w:t>
            </w:r>
            <w:r w:rsidR="004A4260">
              <w:t>percent</w:t>
            </w:r>
            <w:r>
              <w:t xml:space="preserve"> </w:t>
            </w:r>
            <w:r w:rsidRPr="00390B09">
              <w:t>of identified Accommodation Services staff are trained in supported decision</w:t>
            </w:r>
            <w:r w:rsidR="00F74FE0">
              <w:t>-</w:t>
            </w:r>
            <w:r w:rsidRPr="00390B09">
              <w:t>making.</w:t>
            </w:r>
          </w:p>
          <w:p w14:paraId="048006A4" w14:textId="6160F780" w:rsidR="00FF2FB6" w:rsidRDefault="00FF2FB6" w:rsidP="007F6FF1">
            <w:r w:rsidRPr="00390B09">
              <w:t>Learnings are shared with relevant S</w:t>
            </w:r>
            <w:r w:rsidR="00F74FE0">
              <w:t>A</w:t>
            </w:r>
            <w:r w:rsidRPr="00390B09">
              <w:t xml:space="preserve"> Government departments.</w:t>
            </w:r>
          </w:p>
        </w:tc>
      </w:tr>
      <w:tr w:rsidR="00FF2FB6" w14:paraId="6BB7B52F" w14:textId="77777777" w:rsidTr="00D2626A">
        <w:trPr>
          <w:cantSplit/>
        </w:trPr>
        <w:tc>
          <w:tcPr>
            <w:tcW w:w="762" w:type="dxa"/>
          </w:tcPr>
          <w:p w14:paraId="053C211A" w14:textId="7FCD72C2" w:rsidR="00FF2FB6" w:rsidRDefault="00FF2FB6" w:rsidP="007F6FF1">
            <w:r>
              <w:t>4.2</w:t>
            </w:r>
          </w:p>
        </w:tc>
        <w:tc>
          <w:tcPr>
            <w:tcW w:w="2943" w:type="dxa"/>
          </w:tcPr>
          <w:p w14:paraId="6ECE8AE7" w14:textId="129CD03E" w:rsidR="00FF2FB6" w:rsidRDefault="00FF2FB6" w:rsidP="007F6FF1">
            <w:r w:rsidRPr="00390B09">
              <w:rPr>
                <w:rFonts w:eastAsiaTheme="majorEastAsia"/>
              </w:rPr>
              <w:t xml:space="preserve">We will engage with clients and their families and carers to ensure they can inform and participate in the development of new processes and/or programs. </w:t>
            </w:r>
          </w:p>
        </w:tc>
        <w:tc>
          <w:tcPr>
            <w:tcW w:w="2154" w:type="dxa"/>
          </w:tcPr>
          <w:p w14:paraId="04B3C36C" w14:textId="24ED87B5" w:rsidR="00FF2FB6" w:rsidRDefault="00FF2FB6" w:rsidP="007F6FF1">
            <w:r w:rsidRPr="00390B09">
              <w:t xml:space="preserve">Accommodation Services </w:t>
            </w:r>
          </w:p>
        </w:tc>
        <w:tc>
          <w:tcPr>
            <w:tcW w:w="1633" w:type="dxa"/>
          </w:tcPr>
          <w:p w14:paraId="7F5CB151" w14:textId="477BF289" w:rsidR="00FF2FB6" w:rsidRDefault="00FF2FB6" w:rsidP="007F6FF1">
            <w:r w:rsidRPr="00390B09">
              <w:t xml:space="preserve">Ongoing </w:t>
            </w:r>
          </w:p>
        </w:tc>
        <w:tc>
          <w:tcPr>
            <w:tcW w:w="2600" w:type="dxa"/>
          </w:tcPr>
          <w:p w14:paraId="28B9672B" w14:textId="79144C0E" w:rsidR="00FF2FB6" w:rsidRDefault="00FF2FB6" w:rsidP="007F6FF1">
            <w:r w:rsidRPr="00390B09">
              <w:t xml:space="preserve">Client feedback is obtained and reflected in the development of recommendations for new processes or programs. </w:t>
            </w:r>
          </w:p>
        </w:tc>
      </w:tr>
      <w:tr w:rsidR="00FF2FB6" w14:paraId="6102CAF2" w14:textId="77777777" w:rsidTr="00D2626A">
        <w:trPr>
          <w:cantSplit/>
        </w:trPr>
        <w:tc>
          <w:tcPr>
            <w:tcW w:w="762" w:type="dxa"/>
          </w:tcPr>
          <w:p w14:paraId="01AEC0BE" w14:textId="59E85939" w:rsidR="00FF2FB6" w:rsidRDefault="00FF2FB6" w:rsidP="007F6FF1">
            <w:r>
              <w:t>4.3</w:t>
            </w:r>
          </w:p>
        </w:tc>
        <w:tc>
          <w:tcPr>
            <w:tcW w:w="2943" w:type="dxa"/>
          </w:tcPr>
          <w:p w14:paraId="2824E575" w14:textId="72617E26" w:rsidR="00FF2FB6" w:rsidRDefault="00FF2FB6" w:rsidP="007F6FF1">
            <w:r w:rsidRPr="00390B09">
              <w:rPr>
                <w:rFonts w:eastAsiaTheme="majorEastAsia"/>
              </w:rPr>
              <w:t xml:space="preserve">We will engage with clients and people with disability on the future of the former Julia Farr Centre at Fullarton, known as Highgate Park, and the supports funded by the trust that owns it. </w:t>
            </w:r>
          </w:p>
        </w:tc>
        <w:tc>
          <w:tcPr>
            <w:tcW w:w="2154" w:type="dxa"/>
          </w:tcPr>
          <w:p w14:paraId="2A838855" w14:textId="21317144" w:rsidR="00FF2FB6" w:rsidRDefault="00FF2FB6" w:rsidP="007F6FF1">
            <w:r w:rsidRPr="00390B09">
              <w:t>Accommodation Services</w:t>
            </w:r>
          </w:p>
        </w:tc>
        <w:tc>
          <w:tcPr>
            <w:tcW w:w="1633" w:type="dxa"/>
          </w:tcPr>
          <w:p w14:paraId="1311F2A8" w14:textId="00D3021E" w:rsidR="00FF2FB6" w:rsidRDefault="00FF2FB6" w:rsidP="007F6FF1">
            <w:r w:rsidRPr="00390B09">
              <w:t>December 2020</w:t>
            </w:r>
          </w:p>
        </w:tc>
        <w:tc>
          <w:tcPr>
            <w:tcW w:w="2600" w:type="dxa"/>
          </w:tcPr>
          <w:p w14:paraId="3296DF57" w14:textId="3A04E628" w:rsidR="00FF2FB6" w:rsidRDefault="00FF2FB6" w:rsidP="007F6FF1">
            <w:r w:rsidRPr="00390B09">
              <w:t>Consultation process includes people with disability and clients of Accommodation Services.</w:t>
            </w:r>
          </w:p>
        </w:tc>
      </w:tr>
      <w:tr w:rsidR="00FF2FB6" w14:paraId="25D5180A" w14:textId="77777777" w:rsidTr="00D2626A">
        <w:trPr>
          <w:cantSplit/>
        </w:trPr>
        <w:tc>
          <w:tcPr>
            <w:tcW w:w="762" w:type="dxa"/>
          </w:tcPr>
          <w:p w14:paraId="5D499CB4" w14:textId="24174DA2" w:rsidR="00FF2FB6" w:rsidRDefault="00FF2FB6" w:rsidP="007F6FF1">
            <w:r>
              <w:t>4.4</w:t>
            </w:r>
          </w:p>
        </w:tc>
        <w:tc>
          <w:tcPr>
            <w:tcW w:w="2943" w:type="dxa"/>
          </w:tcPr>
          <w:p w14:paraId="6C0D7C3B" w14:textId="0D7B4E2D" w:rsidR="00FF2FB6" w:rsidRDefault="00FF2FB6" w:rsidP="007F6FF1">
            <w:r w:rsidRPr="00390B09">
              <w:t xml:space="preserve">We will engage members of </w:t>
            </w:r>
            <w:r w:rsidR="00AC76B4">
              <w:t xml:space="preserve">the </w:t>
            </w:r>
            <w:r w:rsidRPr="00390B09">
              <w:t>People’s Advocacy Group to test and inform decision-making around changes being made to improve the service.</w:t>
            </w:r>
          </w:p>
        </w:tc>
        <w:tc>
          <w:tcPr>
            <w:tcW w:w="2154" w:type="dxa"/>
          </w:tcPr>
          <w:p w14:paraId="5C63D147" w14:textId="70DBD094" w:rsidR="00FF2FB6" w:rsidRDefault="00FF2FB6" w:rsidP="007F6FF1">
            <w:r w:rsidRPr="00390B09">
              <w:t>Accommodation Services</w:t>
            </w:r>
          </w:p>
        </w:tc>
        <w:tc>
          <w:tcPr>
            <w:tcW w:w="1633" w:type="dxa"/>
          </w:tcPr>
          <w:p w14:paraId="7C6075B8" w14:textId="3BDDA671" w:rsidR="00FF2FB6" w:rsidRDefault="00FF2FB6" w:rsidP="007F6FF1">
            <w:r w:rsidRPr="00390B09">
              <w:t xml:space="preserve">Ongoing </w:t>
            </w:r>
          </w:p>
        </w:tc>
        <w:tc>
          <w:tcPr>
            <w:tcW w:w="2600" w:type="dxa"/>
          </w:tcPr>
          <w:p w14:paraId="1B910763" w14:textId="784DFFCB" w:rsidR="00FF2FB6" w:rsidRDefault="00FF2FB6" w:rsidP="007F6FF1">
            <w:r w:rsidRPr="00390B09">
              <w:t xml:space="preserve">People’s Advocacy Group are consulted prior to making any changes to improve the service. </w:t>
            </w:r>
          </w:p>
        </w:tc>
      </w:tr>
      <w:tr w:rsidR="00FF2FB6" w14:paraId="51804854" w14:textId="77777777" w:rsidTr="00D2626A">
        <w:trPr>
          <w:cantSplit/>
        </w:trPr>
        <w:tc>
          <w:tcPr>
            <w:tcW w:w="762" w:type="dxa"/>
          </w:tcPr>
          <w:p w14:paraId="4E9AF10D" w14:textId="0DF189E3" w:rsidR="00FF2FB6" w:rsidRDefault="00FF2FB6" w:rsidP="007F6FF1">
            <w:r>
              <w:t>4.5</w:t>
            </w:r>
          </w:p>
        </w:tc>
        <w:tc>
          <w:tcPr>
            <w:tcW w:w="2943" w:type="dxa"/>
          </w:tcPr>
          <w:p w14:paraId="291E4DCD" w14:textId="517AA82A" w:rsidR="00FF2FB6" w:rsidRPr="00390B09" w:rsidRDefault="00FF2FB6" w:rsidP="007F6FF1">
            <w:r w:rsidRPr="00390B09">
              <w:t xml:space="preserve">We will engage members of the People’s Advocacy Group to be part of the recruitment process and provide advice on staff training. </w:t>
            </w:r>
          </w:p>
        </w:tc>
        <w:tc>
          <w:tcPr>
            <w:tcW w:w="2154" w:type="dxa"/>
          </w:tcPr>
          <w:p w14:paraId="0A9B6F4B" w14:textId="699227A0" w:rsidR="00FF2FB6" w:rsidRPr="00390B09" w:rsidRDefault="00FF2FB6" w:rsidP="007F6FF1">
            <w:r w:rsidRPr="00390B09">
              <w:t>Accommodation Services</w:t>
            </w:r>
          </w:p>
        </w:tc>
        <w:tc>
          <w:tcPr>
            <w:tcW w:w="1633" w:type="dxa"/>
          </w:tcPr>
          <w:p w14:paraId="08093E1B" w14:textId="27071332" w:rsidR="00FF2FB6" w:rsidRPr="00390B09" w:rsidRDefault="00FF2FB6" w:rsidP="007F6FF1">
            <w:r w:rsidRPr="00390B09">
              <w:t>Ongoing</w:t>
            </w:r>
          </w:p>
        </w:tc>
        <w:tc>
          <w:tcPr>
            <w:tcW w:w="2600" w:type="dxa"/>
          </w:tcPr>
          <w:p w14:paraId="65A04B94" w14:textId="0F94937B" w:rsidR="00FF2FB6" w:rsidRPr="00390B09" w:rsidRDefault="00FF2FB6" w:rsidP="007F6FF1">
            <w:r w:rsidRPr="00390B09">
              <w:t>Members of People’s Advocacy Group to inform disability support staff recruitment and staff training.</w:t>
            </w:r>
          </w:p>
        </w:tc>
      </w:tr>
      <w:tr w:rsidR="00FF2FB6" w14:paraId="29E0F797" w14:textId="77777777" w:rsidTr="00D2626A">
        <w:trPr>
          <w:cantSplit/>
        </w:trPr>
        <w:tc>
          <w:tcPr>
            <w:tcW w:w="762" w:type="dxa"/>
          </w:tcPr>
          <w:p w14:paraId="20091CEB" w14:textId="54455707" w:rsidR="00FF2FB6" w:rsidRDefault="00FF2FB6" w:rsidP="007F6FF1">
            <w:r>
              <w:lastRenderedPageBreak/>
              <w:t>4.6</w:t>
            </w:r>
          </w:p>
        </w:tc>
        <w:tc>
          <w:tcPr>
            <w:tcW w:w="2943" w:type="dxa"/>
          </w:tcPr>
          <w:p w14:paraId="18A71593" w14:textId="7D6844FD" w:rsidR="00FF2FB6" w:rsidRPr="00390B09" w:rsidRDefault="00FF2FB6" w:rsidP="007F6FF1">
            <w:r w:rsidRPr="00390B09">
              <w:rPr>
                <w:rFonts w:eastAsia="Arial"/>
              </w:rPr>
              <w:t xml:space="preserve">We will support young people living with disability to actively participate in decision-making by seeking disability advocates and consumer representatives in the development, implementation and review of strategic youth initiatives, to support the implementation of </w:t>
            </w:r>
            <w:r w:rsidRPr="00390B09">
              <w:rPr>
                <w:rFonts w:eastAsia="Arial"/>
                <w:b/>
                <w:bCs/>
              </w:rPr>
              <w:t>action 11 of Inclusive SA.</w:t>
            </w:r>
          </w:p>
        </w:tc>
        <w:tc>
          <w:tcPr>
            <w:tcW w:w="2154" w:type="dxa"/>
          </w:tcPr>
          <w:p w14:paraId="5CF376B3" w14:textId="242B8A69" w:rsidR="00FF2FB6" w:rsidRPr="00390B09" w:rsidRDefault="00FF2FB6" w:rsidP="007F6FF1">
            <w:r w:rsidRPr="00390B09">
              <w:t>Community Services</w:t>
            </w:r>
          </w:p>
        </w:tc>
        <w:tc>
          <w:tcPr>
            <w:tcW w:w="1633" w:type="dxa"/>
          </w:tcPr>
          <w:p w14:paraId="031DAA1E" w14:textId="35699238" w:rsidR="00FF2FB6" w:rsidRPr="00390B09" w:rsidRDefault="00FF2FB6" w:rsidP="007F6FF1">
            <w:r w:rsidRPr="00390B09">
              <w:t>Ongoing</w:t>
            </w:r>
          </w:p>
        </w:tc>
        <w:tc>
          <w:tcPr>
            <w:tcW w:w="2600" w:type="dxa"/>
          </w:tcPr>
          <w:p w14:paraId="2413E265" w14:textId="3C23E549" w:rsidR="00FF2FB6" w:rsidRPr="00390B09" w:rsidRDefault="00FF2FB6" w:rsidP="007F6FF1">
            <w:r w:rsidRPr="00390B09">
              <w:t xml:space="preserve">10 </w:t>
            </w:r>
            <w:r w:rsidR="004A4260">
              <w:t>percent</w:t>
            </w:r>
            <w:r>
              <w:t xml:space="preserve"> </w:t>
            </w:r>
            <w:r w:rsidRPr="00390B09">
              <w:t>of consultation participants are young people living with disability or who identify as disability advocates.</w:t>
            </w:r>
          </w:p>
        </w:tc>
      </w:tr>
      <w:tr w:rsidR="00FF2FB6" w14:paraId="0904EB2D" w14:textId="77777777" w:rsidTr="00D2626A">
        <w:trPr>
          <w:cantSplit/>
        </w:trPr>
        <w:tc>
          <w:tcPr>
            <w:tcW w:w="762" w:type="dxa"/>
          </w:tcPr>
          <w:p w14:paraId="40532C8C" w14:textId="5F4E0604" w:rsidR="00FF2FB6" w:rsidRDefault="00FF2FB6" w:rsidP="007F6FF1">
            <w:r>
              <w:t>4.7</w:t>
            </w:r>
          </w:p>
        </w:tc>
        <w:tc>
          <w:tcPr>
            <w:tcW w:w="2943" w:type="dxa"/>
          </w:tcPr>
          <w:p w14:paraId="51E0DA83" w14:textId="6F3A56CB" w:rsidR="00FF2FB6" w:rsidRPr="00390B09" w:rsidRDefault="00FF2FB6" w:rsidP="007F6FF1">
            <w:pPr>
              <w:rPr>
                <w:rFonts w:eastAsia="Arial"/>
              </w:rPr>
            </w:pPr>
            <w:r w:rsidRPr="00390B09">
              <w:rPr>
                <w:rFonts w:eastAsia="Arial"/>
              </w:rPr>
              <w:t>We will seek to include people with disability and/or disability advocates in the development, implementation and review of relevant initiatives including (but not limited to) volunteering and LGBTQIA+ directions.</w:t>
            </w:r>
          </w:p>
        </w:tc>
        <w:tc>
          <w:tcPr>
            <w:tcW w:w="2154" w:type="dxa"/>
          </w:tcPr>
          <w:p w14:paraId="3A2BC3C2" w14:textId="2C209891" w:rsidR="00FF2FB6" w:rsidRPr="00390B09" w:rsidRDefault="00FF2FB6" w:rsidP="007F6FF1">
            <w:r w:rsidRPr="00390B09">
              <w:t>Community Services</w:t>
            </w:r>
          </w:p>
        </w:tc>
        <w:tc>
          <w:tcPr>
            <w:tcW w:w="1633" w:type="dxa"/>
          </w:tcPr>
          <w:p w14:paraId="3C01C018" w14:textId="7989BF06" w:rsidR="00FF2FB6" w:rsidRPr="00390B09" w:rsidRDefault="00FF2FB6" w:rsidP="007F6FF1">
            <w:r w:rsidRPr="00390B09">
              <w:t>Ongoing</w:t>
            </w:r>
          </w:p>
        </w:tc>
        <w:tc>
          <w:tcPr>
            <w:tcW w:w="2600" w:type="dxa"/>
          </w:tcPr>
          <w:p w14:paraId="2A3331A9" w14:textId="0FA9F6B3" w:rsidR="00FF2FB6" w:rsidRPr="00390B09" w:rsidRDefault="00FF2FB6" w:rsidP="007F6FF1">
            <w:r w:rsidRPr="00390B09">
              <w:t xml:space="preserve">10 </w:t>
            </w:r>
            <w:r w:rsidR="004A4260">
              <w:t>percent</w:t>
            </w:r>
            <w:r>
              <w:t xml:space="preserve"> </w:t>
            </w:r>
            <w:r w:rsidRPr="00390B09">
              <w:t>of consultation participants are people living with disability or who identify as disability advocates.</w:t>
            </w:r>
          </w:p>
        </w:tc>
      </w:tr>
      <w:tr w:rsidR="00FF2FB6" w14:paraId="6555A32D" w14:textId="77777777" w:rsidTr="00D2626A">
        <w:trPr>
          <w:cantSplit/>
        </w:trPr>
        <w:tc>
          <w:tcPr>
            <w:tcW w:w="762" w:type="dxa"/>
          </w:tcPr>
          <w:p w14:paraId="08219FE4" w14:textId="7C34EBEF" w:rsidR="00FF2FB6" w:rsidRDefault="00FF2FB6" w:rsidP="007F6FF1">
            <w:r>
              <w:t>4.8</w:t>
            </w:r>
          </w:p>
        </w:tc>
        <w:tc>
          <w:tcPr>
            <w:tcW w:w="2943" w:type="dxa"/>
          </w:tcPr>
          <w:p w14:paraId="7A4A9939" w14:textId="77777777" w:rsidR="00FF2FB6" w:rsidRPr="00390B09" w:rsidRDefault="00FF2FB6" w:rsidP="007F6FF1">
            <w:pPr>
              <w:rPr>
                <w:rFonts w:eastAsia="Arial"/>
              </w:rPr>
            </w:pPr>
            <w:r w:rsidRPr="00390B09">
              <w:rPr>
                <w:rFonts w:eastAsia="Arial"/>
              </w:rPr>
              <w:t xml:space="preserve">We will consult with people with disability to develop recommendations to improve accessibility of concessions for people with disability. </w:t>
            </w:r>
          </w:p>
          <w:p w14:paraId="0CFFB04B" w14:textId="1AE524B5" w:rsidR="00FF2FB6" w:rsidRPr="00390B09" w:rsidRDefault="00FF2FB6" w:rsidP="007F6FF1">
            <w:pPr>
              <w:rPr>
                <w:rFonts w:eastAsia="Arial"/>
              </w:rPr>
            </w:pPr>
            <w:r w:rsidRPr="00390B09">
              <w:rPr>
                <w:rFonts w:eastAsia="Arial"/>
              </w:rPr>
              <w:t>Our consultation will target a range of people with disability who may access concessions, including young people.</w:t>
            </w:r>
          </w:p>
        </w:tc>
        <w:tc>
          <w:tcPr>
            <w:tcW w:w="2154" w:type="dxa"/>
          </w:tcPr>
          <w:p w14:paraId="481AE524" w14:textId="63BDF71D" w:rsidR="00FF2FB6" w:rsidRPr="00390B09" w:rsidRDefault="00FF2FB6" w:rsidP="007F6FF1">
            <w:r w:rsidRPr="00390B09">
              <w:t>Concessions</w:t>
            </w:r>
            <w:r>
              <w:t xml:space="preserve"> and Support Services</w:t>
            </w:r>
          </w:p>
        </w:tc>
        <w:tc>
          <w:tcPr>
            <w:tcW w:w="1633" w:type="dxa"/>
          </w:tcPr>
          <w:p w14:paraId="0737560F" w14:textId="77777777" w:rsidR="0036500B" w:rsidRDefault="00FF2FB6" w:rsidP="007F6FF1">
            <w:r w:rsidRPr="00390B09">
              <w:t>December 2021</w:t>
            </w:r>
          </w:p>
          <w:p w14:paraId="4AD58340" w14:textId="2960F22C" w:rsidR="00FF2FB6" w:rsidRPr="00390B09" w:rsidRDefault="00FF2FB6" w:rsidP="007F6FF1">
            <w:r w:rsidRPr="00390B09">
              <w:t>June 2022</w:t>
            </w:r>
          </w:p>
        </w:tc>
        <w:tc>
          <w:tcPr>
            <w:tcW w:w="2600" w:type="dxa"/>
          </w:tcPr>
          <w:p w14:paraId="00792D19" w14:textId="77777777" w:rsidR="00FF2FB6" w:rsidRPr="00390B09" w:rsidRDefault="00FF2FB6" w:rsidP="007F6FF1">
            <w:r w:rsidRPr="00390B09">
              <w:t>Approval of report from consultation process and recommendations.</w:t>
            </w:r>
          </w:p>
          <w:p w14:paraId="7C18FAAC" w14:textId="43C3C2CB" w:rsidR="00FF2FB6" w:rsidRPr="00390B09" w:rsidRDefault="00FF2FB6" w:rsidP="007F6FF1">
            <w:r w:rsidRPr="00390B09">
              <w:t xml:space="preserve">Implementation plan to implement approved recommendations. </w:t>
            </w:r>
          </w:p>
        </w:tc>
      </w:tr>
    </w:tbl>
    <w:p w14:paraId="58DB8D89" w14:textId="79D1A7CB" w:rsidR="00F600E0" w:rsidRDefault="00F600E0" w:rsidP="007F6FF1"/>
    <w:p w14:paraId="2DFD95C1" w14:textId="77777777" w:rsidR="007D67A1" w:rsidRDefault="00DE3A93" w:rsidP="007F6FF1">
      <w:hyperlink w:anchor="_DHS_actions" w:history="1">
        <w:r w:rsidR="007D67A1" w:rsidRPr="003B5C78">
          <w:rPr>
            <w:rStyle w:val="Hyperlink"/>
          </w:rPr>
          <w:t>Back to top</w:t>
        </w:r>
      </w:hyperlink>
    </w:p>
    <w:p w14:paraId="071238E1" w14:textId="77777777" w:rsidR="00D2626A" w:rsidRDefault="00D2626A">
      <w:pPr>
        <w:spacing w:after="200" w:line="288" w:lineRule="auto"/>
        <w:rPr>
          <w:rFonts w:eastAsiaTheme="majorEastAsia" w:cs="Arial"/>
          <w:b/>
          <w:bCs/>
          <w:color w:val="000000" w:themeColor="text1"/>
          <w:sz w:val="32"/>
          <w:szCs w:val="32"/>
        </w:rPr>
      </w:pPr>
      <w:r>
        <w:br w:type="page"/>
      </w:r>
    </w:p>
    <w:p w14:paraId="4921674B" w14:textId="3F38F4C0" w:rsidR="00FF2FB6" w:rsidRDefault="00FF2FB6" w:rsidP="00D2626A">
      <w:pPr>
        <w:pStyle w:val="Heading4"/>
      </w:pPr>
      <w:r w:rsidRPr="00390B09">
        <w:lastRenderedPageBreak/>
        <w:t>Priority 5: Leadership and raising profile</w:t>
      </w:r>
    </w:p>
    <w:tbl>
      <w:tblPr>
        <w:tblStyle w:val="TableGrid"/>
        <w:tblW w:w="4950" w:type="pct"/>
        <w:tblLook w:val="04A0" w:firstRow="1" w:lastRow="0" w:firstColumn="1" w:lastColumn="0" w:noHBand="0" w:noVBand="1"/>
      </w:tblPr>
      <w:tblGrid>
        <w:gridCol w:w="797"/>
        <w:gridCol w:w="2861"/>
        <w:gridCol w:w="2194"/>
        <w:gridCol w:w="1721"/>
        <w:gridCol w:w="2519"/>
      </w:tblGrid>
      <w:tr w:rsidR="00FF2FB6" w:rsidRPr="00120A28" w14:paraId="529FD5B4" w14:textId="77777777" w:rsidTr="00D2626A">
        <w:trPr>
          <w:cantSplit/>
          <w:tblHeader/>
        </w:trPr>
        <w:tc>
          <w:tcPr>
            <w:tcW w:w="797" w:type="dxa"/>
          </w:tcPr>
          <w:p w14:paraId="1246CB61" w14:textId="77777777" w:rsidR="00FF2FB6" w:rsidRPr="00120A28" w:rsidRDefault="00FF2FB6" w:rsidP="00844B09">
            <w:pPr>
              <w:pStyle w:val="Table-Header"/>
            </w:pPr>
            <w:r w:rsidRPr="00120A28">
              <w:t xml:space="preserve">No. </w:t>
            </w:r>
          </w:p>
        </w:tc>
        <w:tc>
          <w:tcPr>
            <w:tcW w:w="2861" w:type="dxa"/>
          </w:tcPr>
          <w:p w14:paraId="40F4F92B" w14:textId="77777777" w:rsidR="00FF2FB6" w:rsidRPr="00120A28" w:rsidRDefault="00FF2FB6" w:rsidP="00844B09">
            <w:pPr>
              <w:pStyle w:val="Table-Header"/>
            </w:pPr>
            <w:r w:rsidRPr="00120A28">
              <w:t>Action</w:t>
            </w:r>
          </w:p>
        </w:tc>
        <w:tc>
          <w:tcPr>
            <w:tcW w:w="2194" w:type="dxa"/>
          </w:tcPr>
          <w:p w14:paraId="1107B18D" w14:textId="77777777" w:rsidR="00FF2FB6" w:rsidRPr="00120A28" w:rsidRDefault="00FF2FB6" w:rsidP="00844B09">
            <w:pPr>
              <w:pStyle w:val="Table-Header"/>
            </w:pPr>
            <w:r w:rsidRPr="00120A28">
              <w:t>Lead Directorate</w:t>
            </w:r>
          </w:p>
        </w:tc>
        <w:tc>
          <w:tcPr>
            <w:tcW w:w="1721" w:type="dxa"/>
          </w:tcPr>
          <w:p w14:paraId="6F333A46" w14:textId="77777777" w:rsidR="00FF2FB6" w:rsidRPr="00120A28" w:rsidRDefault="00FF2FB6" w:rsidP="00844B09">
            <w:pPr>
              <w:pStyle w:val="Table-Header"/>
            </w:pPr>
            <w:r w:rsidRPr="00120A28">
              <w:t>Timeframe</w:t>
            </w:r>
          </w:p>
        </w:tc>
        <w:tc>
          <w:tcPr>
            <w:tcW w:w="2519" w:type="dxa"/>
          </w:tcPr>
          <w:p w14:paraId="1B4F7748" w14:textId="77777777" w:rsidR="00FF2FB6" w:rsidRPr="00120A28" w:rsidRDefault="00FF2FB6" w:rsidP="00844B09">
            <w:pPr>
              <w:pStyle w:val="Table-Header"/>
            </w:pPr>
            <w:r w:rsidRPr="00120A28">
              <w:t>Target</w:t>
            </w:r>
          </w:p>
        </w:tc>
      </w:tr>
      <w:tr w:rsidR="00FF2FB6" w14:paraId="7E3715B4" w14:textId="77777777" w:rsidTr="00D2626A">
        <w:trPr>
          <w:cantSplit/>
        </w:trPr>
        <w:tc>
          <w:tcPr>
            <w:tcW w:w="797" w:type="dxa"/>
          </w:tcPr>
          <w:p w14:paraId="58D63E58" w14:textId="7D292895" w:rsidR="00FF2FB6" w:rsidRDefault="00FF2FB6" w:rsidP="007F6FF1">
            <w:r>
              <w:t>5.1</w:t>
            </w:r>
          </w:p>
        </w:tc>
        <w:tc>
          <w:tcPr>
            <w:tcW w:w="2861" w:type="dxa"/>
          </w:tcPr>
          <w:p w14:paraId="00B9F571" w14:textId="18EC8B95" w:rsidR="00FF2FB6" w:rsidRPr="00D94D43" w:rsidRDefault="00FF2FB6" w:rsidP="007F6FF1">
            <w:r w:rsidRPr="00D94D43">
              <w:t xml:space="preserve">We will support </w:t>
            </w:r>
            <w:r w:rsidR="00036B0E">
              <w:t>m</w:t>
            </w:r>
            <w:r w:rsidRPr="00D94D43">
              <w:t>embers of the Accommodation Services People</w:t>
            </w:r>
            <w:r w:rsidR="00036B0E">
              <w:t>’</w:t>
            </w:r>
            <w:r w:rsidRPr="00D94D43">
              <w:t xml:space="preserve">s Advocacy Group who undertook advocacy training through Your Voice (JFA Purple Orange) to use that training to actively participate in house meetings and provide peer support and leadership to other clients of Accommodation Services. </w:t>
            </w:r>
          </w:p>
        </w:tc>
        <w:tc>
          <w:tcPr>
            <w:tcW w:w="2194" w:type="dxa"/>
          </w:tcPr>
          <w:p w14:paraId="7909A41F" w14:textId="5B365CD1" w:rsidR="00FF2FB6" w:rsidRDefault="00FF2FB6" w:rsidP="007F6FF1">
            <w:r w:rsidRPr="00390B09">
              <w:t xml:space="preserve">Accommodation Services </w:t>
            </w:r>
          </w:p>
        </w:tc>
        <w:tc>
          <w:tcPr>
            <w:tcW w:w="1721" w:type="dxa"/>
          </w:tcPr>
          <w:p w14:paraId="39C0A608" w14:textId="4F93A0FB" w:rsidR="00FF2FB6" w:rsidRDefault="00FF2FB6" w:rsidP="007F6FF1">
            <w:r w:rsidRPr="00390B09">
              <w:t>Ongoing</w:t>
            </w:r>
          </w:p>
        </w:tc>
        <w:tc>
          <w:tcPr>
            <w:tcW w:w="2519" w:type="dxa"/>
          </w:tcPr>
          <w:p w14:paraId="60AAA776" w14:textId="79BA584B" w:rsidR="003762FE" w:rsidRDefault="003762FE" w:rsidP="003762FE">
            <w:r>
              <w:t>All clients of Accommodation Services will have the opportunity to participate in house meetings.</w:t>
            </w:r>
          </w:p>
          <w:p w14:paraId="6F9D3CEC" w14:textId="4FA9EFA7" w:rsidR="00FF2FB6" w:rsidRDefault="003762FE" w:rsidP="003762FE">
            <w:r>
              <w:t>The People’s Advocacy Group will explore peer support opportunities.</w:t>
            </w:r>
          </w:p>
        </w:tc>
      </w:tr>
      <w:tr w:rsidR="00FF2FB6" w14:paraId="5A1D9141" w14:textId="77777777" w:rsidTr="00D2626A">
        <w:trPr>
          <w:cantSplit/>
        </w:trPr>
        <w:tc>
          <w:tcPr>
            <w:tcW w:w="797" w:type="dxa"/>
          </w:tcPr>
          <w:p w14:paraId="224890DB" w14:textId="40657709" w:rsidR="00FF2FB6" w:rsidRDefault="00FF2FB6" w:rsidP="007F6FF1">
            <w:r>
              <w:t>5.2</w:t>
            </w:r>
          </w:p>
        </w:tc>
        <w:tc>
          <w:tcPr>
            <w:tcW w:w="2861" w:type="dxa"/>
          </w:tcPr>
          <w:p w14:paraId="54E9DBC7" w14:textId="6242BA82" w:rsidR="00FF2FB6" w:rsidRPr="00D94D43" w:rsidRDefault="00FF2FB6" w:rsidP="007F6FF1">
            <w:pPr>
              <w:pStyle w:val="Bullet-Disc"/>
              <w:numPr>
                <w:ilvl w:val="0"/>
                <w:numId w:val="0"/>
              </w:numPr>
            </w:pPr>
            <w:r w:rsidRPr="00D94D43">
              <w:t xml:space="preserve">We will contribute to </w:t>
            </w:r>
            <w:r w:rsidRPr="00D94D43">
              <w:rPr>
                <w:b/>
                <w:bCs/>
              </w:rPr>
              <w:t>action 13 in Inclusive SA</w:t>
            </w:r>
            <w:r w:rsidRPr="00D94D43">
              <w:t xml:space="preserve"> and support </w:t>
            </w:r>
            <w:r w:rsidR="00D94D43">
              <w:t xml:space="preserve">the </w:t>
            </w:r>
            <w:r w:rsidRPr="00D94D43">
              <w:t>Attorney General</w:t>
            </w:r>
            <w:r w:rsidR="00527E23" w:rsidRPr="00D94D43">
              <w:t>’s Department</w:t>
            </w:r>
            <w:r w:rsidRPr="00D94D43">
              <w:t xml:space="preserve"> to deliver high quality and coordinated engagement with the Royal Commission into Violence, Abuse, Neglect and Exploitation of People with Disability, including providing consistent, accurate and relevant information. </w:t>
            </w:r>
          </w:p>
        </w:tc>
        <w:tc>
          <w:tcPr>
            <w:tcW w:w="2194" w:type="dxa"/>
          </w:tcPr>
          <w:p w14:paraId="2AA1404E" w14:textId="104A64DC" w:rsidR="00FF2FB6" w:rsidRDefault="00FF2FB6" w:rsidP="007F6FF1">
            <w:r w:rsidRPr="00A117E0">
              <w:t xml:space="preserve">Disability Access and Inclusion </w:t>
            </w:r>
          </w:p>
        </w:tc>
        <w:tc>
          <w:tcPr>
            <w:tcW w:w="1721" w:type="dxa"/>
          </w:tcPr>
          <w:p w14:paraId="072CB01B" w14:textId="110C107C" w:rsidR="00FF2FB6" w:rsidRDefault="00FF2FB6" w:rsidP="007F6FF1">
            <w:r>
              <w:t>Completed by January 2023</w:t>
            </w:r>
          </w:p>
        </w:tc>
        <w:tc>
          <w:tcPr>
            <w:tcW w:w="2519" w:type="dxa"/>
          </w:tcPr>
          <w:p w14:paraId="56B85D0E" w14:textId="77777777" w:rsidR="00FF2FB6" w:rsidRDefault="00FF2FB6" w:rsidP="007F6FF1">
            <w:r w:rsidRPr="00A117E0">
              <w:t>The Disability Royal Commission Response Unit funded by the SA Government for two years from 2019 to 2021.</w:t>
            </w:r>
            <w:r>
              <w:t xml:space="preserve"> </w:t>
            </w:r>
            <w:r w:rsidRPr="00A117E0">
              <w:t>The Unit’s role is to coordinate responses to information requests from the Disability Royal Commission and voluntary submissions, as well as legal advice and representation on behalf of the State.</w:t>
            </w:r>
          </w:p>
          <w:p w14:paraId="586C9F06" w14:textId="2BFAFC93" w:rsidR="00FF2FB6" w:rsidRDefault="00FF2FB6" w:rsidP="007F6FF1">
            <w:r w:rsidRPr="00A117E0">
              <w:t>Disability Royal Commission Working Group established with impacted government entities.</w:t>
            </w:r>
            <w:r w:rsidRPr="002A169A">
              <w:rPr>
                <w:rFonts w:ascii="Arial Nova" w:hAnsi="Arial Nova"/>
              </w:rPr>
              <w:t xml:space="preserve"> </w:t>
            </w:r>
          </w:p>
        </w:tc>
      </w:tr>
    </w:tbl>
    <w:p w14:paraId="7E801231" w14:textId="77777777" w:rsidR="00FF2FB6" w:rsidRDefault="00FF2FB6" w:rsidP="007F6FF1"/>
    <w:p w14:paraId="7466C994" w14:textId="77777777" w:rsidR="007D67A1" w:rsidRDefault="00DE3A93" w:rsidP="007F6FF1">
      <w:hyperlink w:anchor="_DHS_actions" w:history="1">
        <w:r w:rsidR="007D67A1" w:rsidRPr="003B5C78">
          <w:rPr>
            <w:rStyle w:val="Hyperlink"/>
          </w:rPr>
          <w:t>Back to top</w:t>
        </w:r>
      </w:hyperlink>
    </w:p>
    <w:p w14:paraId="2665F312" w14:textId="77777777" w:rsidR="00D2626A" w:rsidRDefault="00D2626A">
      <w:pPr>
        <w:spacing w:after="200" w:line="288" w:lineRule="auto"/>
        <w:rPr>
          <w:rFonts w:eastAsiaTheme="majorEastAsia" w:cs="Arial"/>
          <w:b/>
          <w:bCs/>
          <w:color w:val="000000" w:themeColor="text1"/>
          <w:sz w:val="32"/>
          <w:szCs w:val="32"/>
        </w:rPr>
      </w:pPr>
      <w:r>
        <w:br w:type="page"/>
      </w:r>
    </w:p>
    <w:p w14:paraId="56F1BBE7" w14:textId="611CBC05" w:rsidR="00815366" w:rsidRDefault="00815366" w:rsidP="00D2626A">
      <w:pPr>
        <w:pStyle w:val="Heading4"/>
      </w:pPr>
      <w:r w:rsidRPr="00390B09">
        <w:lastRenderedPageBreak/>
        <w:t xml:space="preserve">Priority </w:t>
      </w:r>
      <w:r>
        <w:t>6</w:t>
      </w:r>
      <w:r w:rsidRPr="00390B09">
        <w:t>: Engagement and consultation</w:t>
      </w:r>
    </w:p>
    <w:tbl>
      <w:tblPr>
        <w:tblStyle w:val="TableGrid"/>
        <w:tblW w:w="4950" w:type="pct"/>
        <w:tblLook w:val="04A0" w:firstRow="1" w:lastRow="0" w:firstColumn="1" w:lastColumn="0" w:noHBand="0" w:noVBand="1"/>
      </w:tblPr>
      <w:tblGrid>
        <w:gridCol w:w="806"/>
        <w:gridCol w:w="2916"/>
        <w:gridCol w:w="2018"/>
        <w:gridCol w:w="1701"/>
        <w:gridCol w:w="2651"/>
      </w:tblGrid>
      <w:tr w:rsidR="00815366" w:rsidRPr="00120A28" w14:paraId="1863ED3E" w14:textId="77777777" w:rsidTr="00D2626A">
        <w:trPr>
          <w:cantSplit/>
          <w:tblHeader/>
        </w:trPr>
        <w:tc>
          <w:tcPr>
            <w:tcW w:w="806" w:type="dxa"/>
          </w:tcPr>
          <w:p w14:paraId="7228D95E" w14:textId="77777777" w:rsidR="00815366" w:rsidRPr="00120A28" w:rsidRDefault="00815366" w:rsidP="00844B09">
            <w:pPr>
              <w:pStyle w:val="Table-Header"/>
            </w:pPr>
            <w:r w:rsidRPr="00120A28">
              <w:t xml:space="preserve">No. </w:t>
            </w:r>
          </w:p>
        </w:tc>
        <w:tc>
          <w:tcPr>
            <w:tcW w:w="2916" w:type="dxa"/>
          </w:tcPr>
          <w:p w14:paraId="2427EAE7" w14:textId="77777777" w:rsidR="00815366" w:rsidRPr="00120A28" w:rsidRDefault="00815366" w:rsidP="00844B09">
            <w:pPr>
              <w:pStyle w:val="Table-Header"/>
            </w:pPr>
            <w:r w:rsidRPr="00120A28">
              <w:t>Action</w:t>
            </w:r>
          </w:p>
        </w:tc>
        <w:tc>
          <w:tcPr>
            <w:tcW w:w="2018" w:type="dxa"/>
          </w:tcPr>
          <w:p w14:paraId="2A6B6E38" w14:textId="77777777" w:rsidR="00815366" w:rsidRPr="00120A28" w:rsidRDefault="00815366" w:rsidP="00844B09">
            <w:pPr>
              <w:pStyle w:val="Table-Header"/>
            </w:pPr>
            <w:r w:rsidRPr="00120A28">
              <w:t>Lead Directorate</w:t>
            </w:r>
          </w:p>
        </w:tc>
        <w:tc>
          <w:tcPr>
            <w:tcW w:w="1701" w:type="dxa"/>
          </w:tcPr>
          <w:p w14:paraId="76702D10" w14:textId="77777777" w:rsidR="00815366" w:rsidRPr="00120A28" w:rsidRDefault="00815366" w:rsidP="00844B09">
            <w:pPr>
              <w:pStyle w:val="Table-Header"/>
            </w:pPr>
            <w:r w:rsidRPr="00120A28">
              <w:t>Timeframe</w:t>
            </w:r>
          </w:p>
        </w:tc>
        <w:tc>
          <w:tcPr>
            <w:tcW w:w="2651" w:type="dxa"/>
          </w:tcPr>
          <w:p w14:paraId="487DAD08" w14:textId="77777777" w:rsidR="00815366" w:rsidRPr="00120A28" w:rsidRDefault="00815366" w:rsidP="00844B09">
            <w:pPr>
              <w:pStyle w:val="Table-Header"/>
            </w:pPr>
            <w:r w:rsidRPr="00120A28">
              <w:t>Target</w:t>
            </w:r>
          </w:p>
        </w:tc>
      </w:tr>
      <w:tr w:rsidR="00C07D14" w14:paraId="5C989736" w14:textId="77777777" w:rsidTr="00D2626A">
        <w:trPr>
          <w:cantSplit/>
        </w:trPr>
        <w:tc>
          <w:tcPr>
            <w:tcW w:w="806" w:type="dxa"/>
          </w:tcPr>
          <w:p w14:paraId="4C911520" w14:textId="5FD12E58" w:rsidR="00C07D14" w:rsidRDefault="00C07D14" w:rsidP="007F6FF1">
            <w:r>
              <w:t>6.1</w:t>
            </w:r>
          </w:p>
        </w:tc>
        <w:tc>
          <w:tcPr>
            <w:tcW w:w="2916" w:type="dxa"/>
          </w:tcPr>
          <w:p w14:paraId="23036353" w14:textId="77777777" w:rsidR="00C07D14" w:rsidRPr="00390B09" w:rsidRDefault="00C07D14" w:rsidP="007F6FF1">
            <w:pPr>
              <w:rPr>
                <w:rFonts w:eastAsia="Arial"/>
              </w:rPr>
            </w:pPr>
            <w:r w:rsidRPr="00390B09">
              <w:rPr>
                <w:rFonts w:eastAsia="Arial"/>
              </w:rPr>
              <w:t xml:space="preserve">We will lead </w:t>
            </w:r>
            <w:r w:rsidRPr="00390B09">
              <w:rPr>
                <w:rFonts w:eastAsia="Arial"/>
                <w:b/>
                <w:bCs/>
              </w:rPr>
              <w:t xml:space="preserve">action 14 in Inclusive SA </w:t>
            </w:r>
            <w:r w:rsidRPr="00390B09">
              <w:rPr>
                <w:rFonts w:eastAsia="Arial"/>
              </w:rPr>
              <w:t>by developing a toolkit that supports State authorities to consult and engage with people living with disability when developing policies and programs.</w:t>
            </w:r>
          </w:p>
          <w:p w14:paraId="74E44FE7" w14:textId="54062CC3" w:rsidR="00C07D14" w:rsidRDefault="00C07D14" w:rsidP="007F6FF1">
            <w:r w:rsidRPr="00390B09">
              <w:rPr>
                <w:rFonts w:eastAsia="Arial"/>
              </w:rPr>
              <w:t>The toolkit will promote and explain co-design principles and focus on supports for consultation within regional South Australia.</w:t>
            </w:r>
            <w:r>
              <w:rPr>
                <w:rFonts w:eastAsia="Arial"/>
              </w:rPr>
              <w:t xml:space="preserve"> </w:t>
            </w:r>
          </w:p>
        </w:tc>
        <w:tc>
          <w:tcPr>
            <w:tcW w:w="2018" w:type="dxa"/>
          </w:tcPr>
          <w:p w14:paraId="75DA449B" w14:textId="0BF004DE" w:rsidR="00C07D14" w:rsidRDefault="00C07D14" w:rsidP="007F6FF1">
            <w:r w:rsidRPr="00390B09">
              <w:t>Disability Access and Inclusion</w:t>
            </w:r>
          </w:p>
        </w:tc>
        <w:tc>
          <w:tcPr>
            <w:tcW w:w="1701" w:type="dxa"/>
          </w:tcPr>
          <w:p w14:paraId="5186D988" w14:textId="794B8EB4" w:rsidR="00C07D14" w:rsidRDefault="00C07D14" w:rsidP="007F6FF1">
            <w:r w:rsidRPr="00390B09">
              <w:t>December 2020</w:t>
            </w:r>
            <w:r>
              <w:t xml:space="preserve"> and </w:t>
            </w:r>
            <w:r w:rsidRPr="00390B09">
              <w:t>June 2021</w:t>
            </w:r>
          </w:p>
        </w:tc>
        <w:tc>
          <w:tcPr>
            <w:tcW w:w="2651" w:type="dxa"/>
          </w:tcPr>
          <w:p w14:paraId="0DAA176B" w14:textId="77777777" w:rsidR="00C07D14" w:rsidRPr="00390B09" w:rsidRDefault="00C07D14" w:rsidP="007F6FF1">
            <w:r w:rsidRPr="00390B09">
              <w:t>Draft toolkits are delivered in phase 1.</w:t>
            </w:r>
          </w:p>
          <w:p w14:paraId="3D540D8C" w14:textId="51511759" w:rsidR="00C07D14" w:rsidRDefault="00C07D14" w:rsidP="007F6FF1">
            <w:r w:rsidRPr="00390B09">
              <w:t>Toolkits are further refined in consultation with stakeholders, published and available in accessible formats in phase 2.</w:t>
            </w:r>
          </w:p>
        </w:tc>
      </w:tr>
      <w:tr w:rsidR="00C07D14" w14:paraId="4774D353" w14:textId="77777777" w:rsidTr="00D2626A">
        <w:trPr>
          <w:cantSplit/>
        </w:trPr>
        <w:tc>
          <w:tcPr>
            <w:tcW w:w="806" w:type="dxa"/>
          </w:tcPr>
          <w:p w14:paraId="64EDED46" w14:textId="37E751E2" w:rsidR="00C07D14" w:rsidRDefault="00C07D14" w:rsidP="007F6FF1">
            <w:r>
              <w:t>6.2</w:t>
            </w:r>
          </w:p>
        </w:tc>
        <w:tc>
          <w:tcPr>
            <w:tcW w:w="2916" w:type="dxa"/>
          </w:tcPr>
          <w:p w14:paraId="16B47D89" w14:textId="61841302" w:rsidR="00C07D14" w:rsidRDefault="00C07D14" w:rsidP="007F6FF1">
            <w:r w:rsidRPr="00390B09">
              <w:rPr>
                <w:rFonts w:eastAsia="Arial"/>
              </w:rPr>
              <w:t xml:space="preserve">We will lead </w:t>
            </w:r>
            <w:r w:rsidRPr="00390B09">
              <w:rPr>
                <w:rFonts w:eastAsia="Arial"/>
                <w:b/>
                <w:bCs/>
              </w:rPr>
              <w:t xml:space="preserve">action 15 in Inclusive SA </w:t>
            </w:r>
            <w:r w:rsidRPr="00390B09">
              <w:rPr>
                <w:rFonts w:eastAsia="Arial"/>
              </w:rPr>
              <w:t xml:space="preserve">by reviewing the Disability Engagement Group (DEG) to ensure its membership is focused on people living with disability and their </w:t>
            </w:r>
            <w:proofErr w:type="spellStart"/>
            <w:r w:rsidRPr="00390B09">
              <w:rPr>
                <w:rFonts w:eastAsia="Arial"/>
              </w:rPr>
              <w:t>carers</w:t>
            </w:r>
            <w:proofErr w:type="spellEnd"/>
            <w:r w:rsidRPr="00390B09">
              <w:rPr>
                <w:rFonts w:eastAsia="Arial"/>
              </w:rPr>
              <w:t xml:space="preserve"> and to increase membership in rural and regional areas. We will also increase its use in decision-making and policy initiatives and support members in developing their advisory and leadership skills. </w:t>
            </w:r>
          </w:p>
        </w:tc>
        <w:tc>
          <w:tcPr>
            <w:tcW w:w="2018" w:type="dxa"/>
          </w:tcPr>
          <w:p w14:paraId="2540A1D9" w14:textId="22DA2099" w:rsidR="00C07D14" w:rsidRDefault="00C07D14" w:rsidP="007F6FF1">
            <w:r w:rsidRPr="00390B09">
              <w:t>Disability Access and Inclusion</w:t>
            </w:r>
          </w:p>
        </w:tc>
        <w:tc>
          <w:tcPr>
            <w:tcW w:w="1701" w:type="dxa"/>
          </w:tcPr>
          <w:p w14:paraId="3B8DDAB3" w14:textId="0060C0C7" w:rsidR="00C07D14" w:rsidRDefault="00C07D14" w:rsidP="007F6FF1">
            <w:r w:rsidRPr="00390B09">
              <w:t>December 2020</w:t>
            </w:r>
            <w:r>
              <w:t xml:space="preserve"> and </w:t>
            </w:r>
            <w:r w:rsidRPr="00390B09">
              <w:t>June 2021</w:t>
            </w:r>
          </w:p>
        </w:tc>
        <w:tc>
          <w:tcPr>
            <w:tcW w:w="2651" w:type="dxa"/>
          </w:tcPr>
          <w:p w14:paraId="760468CC" w14:textId="77777777" w:rsidR="00C07D14" w:rsidRPr="00390B09" w:rsidRDefault="00C07D14" w:rsidP="007F6FF1">
            <w:r w:rsidRPr="00390B09">
              <w:t xml:space="preserve">Phase 1 DEG is reviewed and recommendations approved for implementation. </w:t>
            </w:r>
          </w:p>
          <w:p w14:paraId="7B24A257" w14:textId="2235627B" w:rsidR="00C07D14" w:rsidRDefault="00C07D14" w:rsidP="007F6FF1">
            <w:r w:rsidRPr="00390B09">
              <w:t>Phase 2 the recommendations of the DEG are implemented and monitored for effectiveness</w:t>
            </w:r>
          </w:p>
        </w:tc>
      </w:tr>
      <w:tr w:rsidR="00C07D14" w14:paraId="1446B52D" w14:textId="77777777" w:rsidTr="00D2626A">
        <w:trPr>
          <w:cantSplit/>
        </w:trPr>
        <w:tc>
          <w:tcPr>
            <w:tcW w:w="806" w:type="dxa"/>
          </w:tcPr>
          <w:p w14:paraId="5834B9FB" w14:textId="0B39AA24" w:rsidR="00C07D14" w:rsidRDefault="00C07D14" w:rsidP="007F6FF1">
            <w:r>
              <w:t>6.3</w:t>
            </w:r>
          </w:p>
        </w:tc>
        <w:tc>
          <w:tcPr>
            <w:tcW w:w="2916" w:type="dxa"/>
          </w:tcPr>
          <w:p w14:paraId="79CFC725" w14:textId="2C5966D2" w:rsidR="00C07D14" w:rsidRDefault="00C07D14" w:rsidP="007F6FF1">
            <w:r w:rsidRPr="00390B09">
              <w:t xml:space="preserve">We will incorporate a test as part of each internal audit to ensure the relevant business area has considered the contribution of people </w:t>
            </w:r>
            <w:r w:rsidR="00466955">
              <w:t>with disability</w:t>
            </w:r>
            <w:r w:rsidRPr="00390B09">
              <w:t xml:space="preserve">. </w:t>
            </w:r>
          </w:p>
        </w:tc>
        <w:tc>
          <w:tcPr>
            <w:tcW w:w="2018" w:type="dxa"/>
          </w:tcPr>
          <w:p w14:paraId="3317C509" w14:textId="2288FA5C" w:rsidR="00C07D14" w:rsidRDefault="00C07D14" w:rsidP="007F6FF1">
            <w:r w:rsidRPr="00390B09">
              <w:t>Internal Audit</w:t>
            </w:r>
          </w:p>
        </w:tc>
        <w:tc>
          <w:tcPr>
            <w:tcW w:w="1701" w:type="dxa"/>
          </w:tcPr>
          <w:p w14:paraId="31EEC802" w14:textId="7BF96034" w:rsidR="00C07D14" w:rsidRDefault="00C07D14" w:rsidP="007F6FF1">
            <w:r w:rsidRPr="00390B09">
              <w:t>May 2020</w:t>
            </w:r>
          </w:p>
        </w:tc>
        <w:tc>
          <w:tcPr>
            <w:tcW w:w="2651" w:type="dxa"/>
          </w:tcPr>
          <w:p w14:paraId="307BB11F" w14:textId="7D072F9C" w:rsidR="00C07D14" w:rsidRDefault="00C07D14" w:rsidP="007F6FF1">
            <w:r w:rsidRPr="00390B09">
              <w:rPr>
                <w:b/>
                <w:bCs/>
              </w:rPr>
              <w:t>Completed:</w:t>
            </w:r>
            <w:r w:rsidRPr="00390B09">
              <w:t xml:space="preserve"> Audit Testing Programs are updated to include this consideration in every future audit</w:t>
            </w:r>
            <w:r w:rsidR="00A711F1">
              <w:t>.</w:t>
            </w:r>
          </w:p>
        </w:tc>
      </w:tr>
      <w:tr w:rsidR="00C07D14" w14:paraId="616108C8" w14:textId="77777777" w:rsidTr="00D2626A">
        <w:trPr>
          <w:cantSplit/>
        </w:trPr>
        <w:tc>
          <w:tcPr>
            <w:tcW w:w="806" w:type="dxa"/>
          </w:tcPr>
          <w:p w14:paraId="273E06F5" w14:textId="72C0196D" w:rsidR="00C07D14" w:rsidRDefault="00C07D14" w:rsidP="007F6FF1">
            <w:r>
              <w:t>6.4</w:t>
            </w:r>
          </w:p>
        </w:tc>
        <w:tc>
          <w:tcPr>
            <w:tcW w:w="2916" w:type="dxa"/>
          </w:tcPr>
          <w:p w14:paraId="119DB8B4" w14:textId="7B272009" w:rsidR="00C07D14" w:rsidRDefault="00C07D14" w:rsidP="007F6FF1">
            <w:r w:rsidRPr="00390B09">
              <w:t xml:space="preserve">We will ensure internal auditors communicate and engage with people </w:t>
            </w:r>
            <w:r w:rsidR="00466955">
              <w:t>with disability</w:t>
            </w:r>
            <w:r w:rsidRPr="00390B09">
              <w:t xml:space="preserve"> during audit processes so their contribution can be considered and add value to the process. </w:t>
            </w:r>
          </w:p>
        </w:tc>
        <w:tc>
          <w:tcPr>
            <w:tcW w:w="2018" w:type="dxa"/>
          </w:tcPr>
          <w:p w14:paraId="6AC380BE" w14:textId="01F73F3C" w:rsidR="00C07D14" w:rsidRDefault="00C07D14" w:rsidP="007F6FF1">
            <w:r w:rsidRPr="00390B09">
              <w:t>Internal Audit</w:t>
            </w:r>
          </w:p>
        </w:tc>
        <w:tc>
          <w:tcPr>
            <w:tcW w:w="1701" w:type="dxa"/>
          </w:tcPr>
          <w:p w14:paraId="692EF16E" w14:textId="054191BB" w:rsidR="00C07D14" w:rsidRDefault="00C07D14" w:rsidP="007F6FF1">
            <w:r w:rsidRPr="00390B09">
              <w:t>Ongoing</w:t>
            </w:r>
          </w:p>
        </w:tc>
        <w:tc>
          <w:tcPr>
            <w:tcW w:w="2651" w:type="dxa"/>
          </w:tcPr>
          <w:p w14:paraId="48F10531" w14:textId="40026D25" w:rsidR="00C07D14" w:rsidRDefault="00C07D14" w:rsidP="007F6FF1">
            <w:r w:rsidRPr="00390B09">
              <w:t xml:space="preserve">100 </w:t>
            </w:r>
            <w:r w:rsidR="004A4260">
              <w:t>percent</w:t>
            </w:r>
            <w:r>
              <w:t xml:space="preserve"> </w:t>
            </w:r>
            <w:r w:rsidRPr="00390B09">
              <w:t>of disability audit processes include engagement with people with disability.</w:t>
            </w:r>
          </w:p>
        </w:tc>
      </w:tr>
      <w:tr w:rsidR="00C07D14" w14:paraId="5E3BBCF9" w14:textId="77777777" w:rsidTr="00D2626A">
        <w:trPr>
          <w:cantSplit/>
        </w:trPr>
        <w:tc>
          <w:tcPr>
            <w:tcW w:w="806" w:type="dxa"/>
          </w:tcPr>
          <w:p w14:paraId="732534F9" w14:textId="0AB8746A" w:rsidR="00C07D14" w:rsidRDefault="00C07D14" w:rsidP="007F6FF1">
            <w:r>
              <w:lastRenderedPageBreak/>
              <w:t>6.5</w:t>
            </w:r>
          </w:p>
        </w:tc>
        <w:tc>
          <w:tcPr>
            <w:tcW w:w="2916" w:type="dxa"/>
          </w:tcPr>
          <w:p w14:paraId="756E3B66" w14:textId="5E0BD1C3" w:rsidR="00C07D14" w:rsidRDefault="00C07D14" w:rsidP="007F6FF1">
            <w:r w:rsidRPr="00390B09">
              <w:t>We will research methods that auditors can use to enable better communication with people living with disability and undertake training in this area.</w:t>
            </w:r>
          </w:p>
        </w:tc>
        <w:tc>
          <w:tcPr>
            <w:tcW w:w="2018" w:type="dxa"/>
          </w:tcPr>
          <w:p w14:paraId="20E9BD81" w14:textId="067B1629" w:rsidR="00C07D14" w:rsidRDefault="00C07D14" w:rsidP="007F6FF1">
            <w:r w:rsidRPr="00390B09">
              <w:t>Internal audit</w:t>
            </w:r>
          </w:p>
        </w:tc>
        <w:tc>
          <w:tcPr>
            <w:tcW w:w="1701" w:type="dxa"/>
          </w:tcPr>
          <w:p w14:paraId="4217C4AC" w14:textId="3B0DE116" w:rsidR="00C07D14" w:rsidRDefault="00C07D14" w:rsidP="007F6FF1">
            <w:r w:rsidRPr="00390B09">
              <w:t>December 2020</w:t>
            </w:r>
          </w:p>
        </w:tc>
        <w:tc>
          <w:tcPr>
            <w:tcW w:w="2651" w:type="dxa"/>
          </w:tcPr>
          <w:p w14:paraId="24E0C6EA" w14:textId="1E80D9B1" w:rsidR="00C07D14" w:rsidRDefault="00C07D14" w:rsidP="007F6FF1">
            <w:r w:rsidRPr="00390B09">
              <w:rPr>
                <w:rFonts w:eastAsia="Arial"/>
              </w:rPr>
              <w:t>Training identified and completed.</w:t>
            </w:r>
          </w:p>
        </w:tc>
      </w:tr>
      <w:tr w:rsidR="00C07D14" w14:paraId="142A8540" w14:textId="77777777" w:rsidTr="00D2626A">
        <w:trPr>
          <w:cantSplit/>
        </w:trPr>
        <w:tc>
          <w:tcPr>
            <w:tcW w:w="806" w:type="dxa"/>
          </w:tcPr>
          <w:p w14:paraId="63C5EDC7" w14:textId="4D896AE5" w:rsidR="00C07D14" w:rsidRDefault="00C07D14" w:rsidP="007F6FF1">
            <w:r>
              <w:t>6.6</w:t>
            </w:r>
          </w:p>
        </w:tc>
        <w:tc>
          <w:tcPr>
            <w:tcW w:w="2916" w:type="dxa"/>
          </w:tcPr>
          <w:p w14:paraId="3B3FE0B5" w14:textId="3174F372" w:rsidR="00C07D14" w:rsidRDefault="00C07D14" w:rsidP="007F6FF1">
            <w:r w:rsidRPr="00390B09">
              <w:rPr>
                <w:rFonts w:eastAsia="Arial"/>
              </w:rPr>
              <w:t xml:space="preserve">We will consult with people with disability during purchase, refit or lease of new office accommodation. </w:t>
            </w:r>
          </w:p>
        </w:tc>
        <w:tc>
          <w:tcPr>
            <w:tcW w:w="2018" w:type="dxa"/>
          </w:tcPr>
          <w:p w14:paraId="1C9C4B6F" w14:textId="6EAC27F0" w:rsidR="00C07D14" w:rsidRDefault="00C07D14" w:rsidP="007F6FF1">
            <w:r>
              <w:rPr>
                <w:rFonts w:eastAsia="Arial"/>
              </w:rPr>
              <w:t>Infrastructure</w:t>
            </w:r>
          </w:p>
        </w:tc>
        <w:tc>
          <w:tcPr>
            <w:tcW w:w="1701" w:type="dxa"/>
          </w:tcPr>
          <w:p w14:paraId="3306A656" w14:textId="5D8525FC" w:rsidR="00C07D14" w:rsidRDefault="00C07D14" w:rsidP="007F6FF1">
            <w:r w:rsidRPr="00390B09">
              <w:t>Ongoing</w:t>
            </w:r>
          </w:p>
        </w:tc>
        <w:tc>
          <w:tcPr>
            <w:tcW w:w="2651" w:type="dxa"/>
          </w:tcPr>
          <w:p w14:paraId="2127EFE2" w14:textId="580F21DE" w:rsidR="00C07D14" w:rsidRDefault="00C07D14" w:rsidP="007F6FF1">
            <w:r w:rsidRPr="00390B09">
              <w:rPr>
                <w:rFonts w:eastAsia="Arial"/>
              </w:rPr>
              <w:t xml:space="preserve">People with disability are consulted each time there is a purchase, refit or lease of new office accommodation. </w:t>
            </w:r>
          </w:p>
        </w:tc>
      </w:tr>
      <w:tr w:rsidR="00C07D14" w14:paraId="2C687383" w14:textId="77777777" w:rsidTr="00D2626A">
        <w:trPr>
          <w:cantSplit/>
        </w:trPr>
        <w:tc>
          <w:tcPr>
            <w:tcW w:w="806" w:type="dxa"/>
          </w:tcPr>
          <w:p w14:paraId="5F7E0812" w14:textId="3A1E7661" w:rsidR="00C07D14" w:rsidRDefault="00C07D14" w:rsidP="007F6FF1">
            <w:r>
              <w:t>6.7</w:t>
            </w:r>
          </w:p>
        </w:tc>
        <w:tc>
          <w:tcPr>
            <w:tcW w:w="2916" w:type="dxa"/>
          </w:tcPr>
          <w:p w14:paraId="0108888A" w14:textId="63665244" w:rsidR="00C07D14" w:rsidRPr="00390B09" w:rsidRDefault="00C07D14" w:rsidP="007F6FF1">
            <w:pPr>
              <w:rPr>
                <w:rFonts w:eastAsia="Arial"/>
              </w:rPr>
            </w:pPr>
            <w:r w:rsidRPr="00390B09">
              <w:rPr>
                <w:rFonts w:eastAsia="Arial"/>
              </w:rPr>
              <w:t>We will consult with people with disability when fitting out vehicles for use by people with disability</w:t>
            </w:r>
            <w:r>
              <w:rPr>
                <w:rFonts w:eastAsia="Arial"/>
              </w:rPr>
              <w:t>, keeping in mind that every person has different needs.</w:t>
            </w:r>
            <w:r w:rsidRPr="00390B09">
              <w:rPr>
                <w:rFonts w:eastAsia="Arial"/>
              </w:rPr>
              <w:t xml:space="preserve"> </w:t>
            </w:r>
          </w:p>
        </w:tc>
        <w:tc>
          <w:tcPr>
            <w:tcW w:w="2018" w:type="dxa"/>
          </w:tcPr>
          <w:p w14:paraId="3F6ABC1F" w14:textId="676ED597" w:rsidR="00C07D14" w:rsidRDefault="00C07D14" w:rsidP="007F6FF1">
            <w:pPr>
              <w:rPr>
                <w:rFonts w:eastAsia="Arial"/>
              </w:rPr>
            </w:pPr>
            <w:r>
              <w:t>Infrastructure</w:t>
            </w:r>
          </w:p>
        </w:tc>
        <w:tc>
          <w:tcPr>
            <w:tcW w:w="1701" w:type="dxa"/>
          </w:tcPr>
          <w:p w14:paraId="7CBFCE9F" w14:textId="2204E85C" w:rsidR="00C07D14" w:rsidRPr="00390B09" w:rsidRDefault="00C07D14" w:rsidP="007F6FF1">
            <w:r w:rsidRPr="00390B09">
              <w:t>Ongoing</w:t>
            </w:r>
          </w:p>
        </w:tc>
        <w:tc>
          <w:tcPr>
            <w:tcW w:w="2651" w:type="dxa"/>
          </w:tcPr>
          <w:p w14:paraId="65669B80" w14:textId="3152D77B" w:rsidR="00C07D14" w:rsidRPr="00390B09" w:rsidRDefault="00C07D14" w:rsidP="007F6FF1">
            <w:pPr>
              <w:rPr>
                <w:rFonts w:eastAsia="Arial"/>
              </w:rPr>
            </w:pPr>
            <w:r w:rsidRPr="00390B09">
              <w:rPr>
                <w:rFonts w:eastAsia="Arial"/>
              </w:rPr>
              <w:t xml:space="preserve">People with disability are consulted each time a vehicle is fitted out for use by people with disability. </w:t>
            </w:r>
          </w:p>
        </w:tc>
      </w:tr>
    </w:tbl>
    <w:p w14:paraId="4E7EDCD0" w14:textId="77777777" w:rsidR="00815366" w:rsidRPr="00815366" w:rsidRDefault="00815366" w:rsidP="007F6FF1"/>
    <w:p w14:paraId="26502303" w14:textId="77777777" w:rsidR="007D67A1" w:rsidRDefault="00DE3A93" w:rsidP="007F6FF1">
      <w:hyperlink w:anchor="_DHS_actions" w:history="1">
        <w:r w:rsidR="007D67A1" w:rsidRPr="003B5C78">
          <w:rPr>
            <w:rStyle w:val="Hyperlink"/>
          </w:rPr>
          <w:t>Back to top</w:t>
        </w:r>
      </w:hyperlink>
    </w:p>
    <w:p w14:paraId="24CA606E" w14:textId="68B2CB8C" w:rsidR="004D7E47" w:rsidRDefault="004D7E47" w:rsidP="00DE3A93">
      <w:pPr>
        <w:pStyle w:val="Heading3"/>
      </w:pPr>
      <w:bookmarkStart w:id="24" w:name="_Toc53041872"/>
      <w:r>
        <w:t>Theme Three: Accessible communities</w:t>
      </w:r>
      <w:bookmarkEnd w:id="24"/>
    </w:p>
    <w:p w14:paraId="02E21AD4" w14:textId="77777777" w:rsidR="004D7E47" w:rsidRDefault="004D7E47" w:rsidP="007F6FF1">
      <w:r>
        <w:t>The accessibility of the built environment, quality services and information are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4C51DBD1" w14:textId="3E8B39CA" w:rsidR="004D7E47" w:rsidRDefault="004D7E47" w:rsidP="007F6FF1">
      <w:r>
        <w:t>DHS will help increase access to its buildings and services through the following actions</w:t>
      </w:r>
      <w:r w:rsidR="00E92D3B">
        <w:t>.</w:t>
      </w:r>
    </w:p>
    <w:p w14:paraId="634278A6" w14:textId="6DD29DA5" w:rsidR="004D7E47" w:rsidRDefault="004D7E47" w:rsidP="00D2626A">
      <w:pPr>
        <w:pStyle w:val="Heading4"/>
      </w:pPr>
      <w:r w:rsidRPr="00390B09">
        <w:t xml:space="preserve">Priority </w:t>
      </w:r>
      <w:r>
        <w:t>7</w:t>
      </w:r>
      <w:r w:rsidRPr="00390B09">
        <w:t xml:space="preserve">: </w:t>
      </w:r>
      <w:r w:rsidRPr="004D7E47">
        <w:t>Universal Design across South Australia</w:t>
      </w:r>
    </w:p>
    <w:tbl>
      <w:tblPr>
        <w:tblStyle w:val="TableGrid"/>
        <w:tblW w:w="4950" w:type="pct"/>
        <w:tblLook w:val="04A0" w:firstRow="1" w:lastRow="0" w:firstColumn="1" w:lastColumn="0" w:noHBand="0" w:noVBand="1"/>
      </w:tblPr>
      <w:tblGrid>
        <w:gridCol w:w="794"/>
        <w:gridCol w:w="2983"/>
        <w:gridCol w:w="2002"/>
        <w:gridCol w:w="1685"/>
        <w:gridCol w:w="2628"/>
      </w:tblGrid>
      <w:tr w:rsidR="004D7E47" w:rsidRPr="00120A28" w14:paraId="3ED52F10" w14:textId="77777777" w:rsidTr="00D2626A">
        <w:trPr>
          <w:cantSplit/>
          <w:tblHeader/>
        </w:trPr>
        <w:tc>
          <w:tcPr>
            <w:tcW w:w="794" w:type="dxa"/>
          </w:tcPr>
          <w:p w14:paraId="6C41B0D7" w14:textId="77777777" w:rsidR="004D7E47" w:rsidRPr="00120A28" w:rsidRDefault="004D7E47" w:rsidP="00844B09">
            <w:pPr>
              <w:pStyle w:val="Table-Header"/>
            </w:pPr>
            <w:r w:rsidRPr="00120A28">
              <w:t xml:space="preserve">No. </w:t>
            </w:r>
          </w:p>
        </w:tc>
        <w:tc>
          <w:tcPr>
            <w:tcW w:w="2983" w:type="dxa"/>
          </w:tcPr>
          <w:p w14:paraId="2F2A0A0A" w14:textId="77777777" w:rsidR="004D7E47" w:rsidRPr="00120A28" w:rsidRDefault="004D7E47" w:rsidP="00844B09">
            <w:pPr>
              <w:pStyle w:val="Table-Header"/>
            </w:pPr>
            <w:r w:rsidRPr="00120A28">
              <w:t>Action</w:t>
            </w:r>
          </w:p>
        </w:tc>
        <w:tc>
          <w:tcPr>
            <w:tcW w:w="2002" w:type="dxa"/>
          </w:tcPr>
          <w:p w14:paraId="7ACFE4B1" w14:textId="77777777" w:rsidR="004D7E47" w:rsidRPr="00120A28" w:rsidRDefault="004D7E47" w:rsidP="00844B09">
            <w:pPr>
              <w:pStyle w:val="Table-Header"/>
            </w:pPr>
            <w:r w:rsidRPr="00120A28">
              <w:t>Lead Directorate</w:t>
            </w:r>
          </w:p>
        </w:tc>
        <w:tc>
          <w:tcPr>
            <w:tcW w:w="1685" w:type="dxa"/>
          </w:tcPr>
          <w:p w14:paraId="148549F2" w14:textId="77777777" w:rsidR="004D7E47" w:rsidRPr="00120A28" w:rsidRDefault="004D7E47" w:rsidP="00844B09">
            <w:pPr>
              <w:pStyle w:val="Table-Header"/>
            </w:pPr>
            <w:r w:rsidRPr="00120A28">
              <w:t>Timeframe</w:t>
            </w:r>
          </w:p>
        </w:tc>
        <w:tc>
          <w:tcPr>
            <w:tcW w:w="2628" w:type="dxa"/>
          </w:tcPr>
          <w:p w14:paraId="58729544" w14:textId="77777777" w:rsidR="004D7E47" w:rsidRPr="00120A28" w:rsidRDefault="004D7E47" w:rsidP="00844B09">
            <w:pPr>
              <w:pStyle w:val="Table-Header"/>
            </w:pPr>
            <w:r w:rsidRPr="00120A28">
              <w:t>Target</w:t>
            </w:r>
          </w:p>
        </w:tc>
      </w:tr>
      <w:tr w:rsidR="004D7E47" w14:paraId="46DA76B6" w14:textId="77777777" w:rsidTr="00D2626A">
        <w:trPr>
          <w:cantSplit/>
        </w:trPr>
        <w:tc>
          <w:tcPr>
            <w:tcW w:w="794" w:type="dxa"/>
          </w:tcPr>
          <w:p w14:paraId="137B5F18" w14:textId="2F3285CC" w:rsidR="004D7E47" w:rsidRDefault="004D7E47" w:rsidP="007F6FF1">
            <w:r>
              <w:t>7.1</w:t>
            </w:r>
          </w:p>
        </w:tc>
        <w:tc>
          <w:tcPr>
            <w:tcW w:w="2983" w:type="dxa"/>
          </w:tcPr>
          <w:p w14:paraId="1CEF66D9" w14:textId="338E745A" w:rsidR="004D7E47" w:rsidRDefault="004D7E47" w:rsidP="007F6FF1">
            <w:r w:rsidRPr="00390B09">
              <w:t>We will conduct an accessibility audit of the office site, safety hub sites and the Women</w:t>
            </w:r>
            <w:r w:rsidR="00426C04">
              <w:t>’s</w:t>
            </w:r>
            <w:r w:rsidRPr="00390B09">
              <w:t xml:space="preserve"> Information Service’s volunteer outreach sites. </w:t>
            </w:r>
          </w:p>
        </w:tc>
        <w:tc>
          <w:tcPr>
            <w:tcW w:w="2002" w:type="dxa"/>
          </w:tcPr>
          <w:p w14:paraId="27495299" w14:textId="69E554F5" w:rsidR="004D7E47" w:rsidRDefault="004D7E47" w:rsidP="007F6FF1">
            <w:r w:rsidRPr="00390B09">
              <w:t>Office for Women</w:t>
            </w:r>
          </w:p>
        </w:tc>
        <w:tc>
          <w:tcPr>
            <w:tcW w:w="1685" w:type="dxa"/>
          </w:tcPr>
          <w:p w14:paraId="42F28129" w14:textId="1DF92C99" w:rsidR="004D7E47" w:rsidRDefault="004D7E47" w:rsidP="007F6FF1">
            <w:r w:rsidRPr="00390B09">
              <w:t>December 2020</w:t>
            </w:r>
          </w:p>
        </w:tc>
        <w:tc>
          <w:tcPr>
            <w:tcW w:w="2628" w:type="dxa"/>
          </w:tcPr>
          <w:p w14:paraId="7B30AB24" w14:textId="77777777" w:rsidR="004D7E47" w:rsidRPr="00390B09" w:rsidRDefault="004D7E47" w:rsidP="007F6FF1">
            <w:pPr>
              <w:rPr>
                <w:rFonts w:eastAsia="Arial"/>
              </w:rPr>
            </w:pPr>
            <w:r w:rsidRPr="00390B09">
              <w:rPr>
                <w:rFonts w:eastAsia="Arial"/>
              </w:rPr>
              <w:t>Audit completed.</w:t>
            </w:r>
          </w:p>
          <w:p w14:paraId="1D89B466" w14:textId="152281D0" w:rsidR="004D7E47" w:rsidRDefault="004D7E47" w:rsidP="007F6FF1">
            <w:r w:rsidRPr="00390B09">
              <w:rPr>
                <w:rFonts w:eastAsia="Arial"/>
              </w:rPr>
              <w:t>Audit recommendations implemented.</w:t>
            </w:r>
          </w:p>
        </w:tc>
      </w:tr>
      <w:tr w:rsidR="004D7E47" w14:paraId="63C401CC" w14:textId="77777777" w:rsidTr="00D2626A">
        <w:trPr>
          <w:cantSplit/>
        </w:trPr>
        <w:tc>
          <w:tcPr>
            <w:tcW w:w="794" w:type="dxa"/>
          </w:tcPr>
          <w:p w14:paraId="4608ECCC" w14:textId="54907193" w:rsidR="004D7E47" w:rsidRDefault="004D7E47" w:rsidP="007F6FF1">
            <w:r>
              <w:lastRenderedPageBreak/>
              <w:t>7.2</w:t>
            </w:r>
          </w:p>
        </w:tc>
        <w:tc>
          <w:tcPr>
            <w:tcW w:w="2983" w:type="dxa"/>
          </w:tcPr>
          <w:p w14:paraId="6094F65A" w14:textId="2BC91CCE" w:rsidR="004D7E47" w:rsidRPr="00390B09" w:rsidRDefault="004D7E47" w:rsidP="007F6FF1">
            <w:r w:rsidRPr="00390B09">
              <w:t xml:space="preserve">We will support the implementation of </w:t>
            </w:r>
            <w:r w:rsidRPr="00390B09">
              <w:rPr>
                <w:b/>
                <w:bCs/>
              </w:rPr>
              <w:t>action 16 in</w:t>
            </w:r>
            <w:r w:rsidRPr="00390B09">
              <w:t xml:space="preserve"> </w:t>
            </w:r>
            <w:r w:rsidRPr="00390B09">
              <w:rPr>
                <w:b/>
                <w:bCs/>
              </w:rPr>
              <w:t>Inclusive SA,</w:t>
            </w:r>
            <w:r w:rsidRPr="00390B09">
              <w:t xml:space="preserve"> and support the work of Department of </w:t>
            </w:r>
            <w:r w:rsidR="00426C04">
              <w:t>Infrastructure and</w:t>
            </w:r>
            <w:r w:rsidRPr="00390B09">
              <w:t xml:space="preserve"> Transport to elevate the design quality of built environment and public realms through promoting design quality policy and the principles of </w:t>
            </w:r>
            <w:r w:rsidR="00A712C1">
              <w:t>U</w:t>
            </w:r>
            <w:r w:rsidRPr="00390B09">
              <w:t xml:space="preserve">niversal </w:t>
            </w:r>
            <w:r w:rsidR="00A712C1">
              <w:t>D</w:t>
            </w:r>
            <w:r w:rsidRPr="00390B09">
              <w:t>esign. We will do this for owned buildings by:</w:t>
            </w:r>
          </w:p>
          <w:p w14:paraId="4DBBC372" w14:textId="12CB2951" w:rsidR="004D7E47" w:rsidRPr="00390B09" w:rsidRDefault="00A712C1" w:rsidP="007F6FF1">
            <w:pPr>
              <w:pStyle w:val="ListParagraph"/>
              <w:numPr>
                <w:ilvl w:val="0"/>
                <w:numId w:val="6"/>
              </w:numPr>
            </w:pPr>
            <w:r>
              <w:t>r</w:t>
            </w:r>
            <w:r w:rsidR="004D7E47" w:rsidRPr="00390B09">
              <w:t>eviewing access to buildings for people with disability on an annual basis</w:t>
            </w:r>
          </w:p>
          <w:p w14:paraId="0CA6260E" w14:textId="7AF4C53D" w:rsidR="00A712C1" w:rsidRDefault="00A712C1" w:rsidP="00A712C1">
            <w:pPr>
              <w:pStyle w:val="ListParagraph"/>
              <w:numPr>
                <w:ilvl w:val="0"/>
                <w:numId w:val="6"/>
              </w:numPr>
            </w:pPr>
            <w:r>
              <w:t>i</w:t>
            </w:r>
            <w:r w:rsidR="004D7E47" w:rsidRPr="00390B09">
              <w:t>ncluding access assessments in the Asset Management Plan documentation</w:t>
            </w:r>
          </w:p>
          <w:p w14:paraId="5F712F4A" w14:textId="38158775" w:rsidR="004D7E47" w:rsidRDefault="00A712C1" w:rsidP="00A712C1">
            <w:pPr>
              <w:pStyle w:val="ListParagraph"/>
              <w:numPr>
                <w:ilvl w:val="0"/>
                <w:numId w:val="6"/>
              </w:numPr>
            </w:pPr>
            <w:r>
              <w:t>c</w:t>
            </w:r>
            <w:r w:rsidR="004D7E47" w:rsidRPr="00390B09">
              <w:t xml:space="preserve">onsider and where possible implement </w:t>
            </w:r>
            <w:r>
              <w:t>U</w:t>
            </w:r>
            <w:r w:rsidR="004D7E47" w:rsidRPr="00390B09">
              <w:t xml:space="preserve">niversal </w:t>
            </w:r>
            <w:r>
              <w:t>D</w:t>
            </w:r>
            <w:r w:rsidR="004D7E47" w:rsidRPr="00390B09">
              <w:t>esign principles for any upgrades or refits.</w:t>
            </w:r>
          </w:p>
        </w:tc>
        <w:tc>
          <w:tcPr>
            <w:tcW w:w="2002" w:type="dxa"/>
          </w:tcPr>
          <w:p w14:paraId="14301A47" w14:textId="492022A0" w:rsidR="004D7E47" w:rsidRDefault="004D7E47" w:rsidP="007F6FF1">
            <w:r w:rsidRPr="00390B09">
              <w:t>Infrastructure</w:t>
            </w:r>
          </w:p>
        </w:tc>
        <w:tc>
          <w:tcPr>
            <w:tcW w:w="1685" w:type="dxa"/>
          </w:tcPr>
          <w:p w14:paraId="146CDAF4" w14:textId="70DD3BF9" w:rsidR="004D7E47" w:rsidRDefault="004D7E47" w:rsidP="007F6FF1">
            <w:r w:rsidRPr="00390B09">
              <w:t>Ongoing</w:t>
            </w:r>
          </w:p>
        </w:tc>
        <w:tc>
          <w:tcPr>
            <w:tcW w:w="2628" w:type="dxa"/>
          </w:tcPr>
          <w:p w14:paraId="7252B637" w14:textId="77777777" w:rsidR="004D7E47" w:rsidRPr="00390B09" w:rsidRDefault="004D7E47" w:rsidP="007F6FF1">
            <w:r w:rsidRPr="00390B09">
              <w:t xml:space="preserve">All refits, minor works or new works incorporate elements which support access for people with disability. </w:t>
            </w:r>
          </w:p>
          <w:p w14:paraId="35BE8F4A" w14:textId="77777777" w:rsidR="004D7E47" w:rsidRPr="00390B09" w:rsidRDefault="004D7E47" w:rsidP="007F6FF1">
            <w:r w:rsidRPr="00390B09">
              <w:t xml:space="preserve">Access reviews are undertaken annually. </w:t>
            </w:r>
          </w:p>
          <w:p w14:paraId="11088046" w14:textId="77777777" w:rsidR="004D7E47" w:rsidRPr="00390B09" w:rsidRDefault="004D7E47" w:rsidP="007F6FF1">
            <w:r w:rsidRPr="00390B09">
              <w:t xml:space="preserve">Asset Management Plan template is reviewed and includes access criteria. </w:t>
            </w:r>
          </w:p>
          <w:p w14:paraId="5C3B233F" w14:textId="0E2DB9D3" w:rsidR="004D7E47" w:rsidRDefault="004D7E47" w:rsidP="007F6FF1">
            <w:r w:rsidRPr="00390B09">
              <w:rPr>
                <w:lang w:eastAsia="en-AU"/>
              </w:rPr>
              <w:t>Asset Management Plans for buildings are reviewed and identify access and inclusion issues to be prioritised for resolution. </w:t>
            </w:r>
          </w:p>
        </w:tc>
      </w:tr>
    </w:tbl>
    <w:p w14:paraId="5FAF9756" w14:textId="0B3E9691" w:rsidR="004D7E47" w:rsidRDefault="004D7E47" w:rsidP="007F6FF1"/>
    <w:p w14:paraId="6B5BE176" w14:textId="77777777" w:rsidR="007D67A1" w:rsidRDefault="00DE3A93" w:rsidP="007F6FF1">
      <w:hyperlink w:anchor="_DHS_actions" w:history="1">
        <w:r w:rsidR="007D67A1" w:rsidRPr="003B5C78">
          <w:rPr>
            <w:rStyle w:val="Hyperlink"/>
          </w:rPr>
          <w:t>Back to top</w:t>
        </w:r>
      </w:hyperlink>
    </w:p>
    <w:p w14:paraId="4344DA57" w14:textId="759B15E1" w:rsidR="004D7E47" w:rsidRDefault="004D7E47" w:rsidP="00D2626A">
      <w:pPr>
        <w:pStyle w:val="Heading4"/>
      </w:pPr>
      <w:r w:rsidRPr="00390B09">
        <w:t>Priority 8: Accessible and available information</w:t>
      </w:r>
    </w:p>
    <w:tbl>
      <w:tblPr>
        <w:tblStyle w:val="TableGrid"/>
        <w:tblW w:w="4950" w:type="pct"/>
        <w:tblLook w:val="04A0" w:firstRow="1" w:lastRow="0" w:firstColumn="1" w:lastColumn="0" w:noHBand="0" w:noVBand="1"/>
      </w:tblPr>
      <w:tblGrid>
        <w:gridCol w:w="864"/>
        <w:gridCol w:w="2819"/>
        <w:gridCol w:w="2225"/>
        <w:gridCol w:w="1691"/>
        <w:gridCol w:w="2493"/>
      </w:tblGrid>
      <w:tr w:rsidR="004D7E47" w:rsidRPr="00120A28" w14:paraId="580CAE71" w14:textId="77777777" w:rsidTr="004D7E47">
        <w:trPr>
          <w:cantSplit/>
          <w:tblHeader/>
        </w:trPr>
        <w:tc>
          <w:tcPr>
            <w:tcW w:w="1170" w:type="dxa"/>
          </w:tcPr>
          <w:p w14:paraId="24BEF3FD" w14:textId="77777777" w:rsidR="004D7E47" w:rsidRPr="00120A28" w:rsidRDefault="004D7E47" w:rsidP="00844B09">
            <w:pPr>
              <w:pStyle w:val="Table-Header"/>
            </w:pPr>
            <w:r w:rsidRPr="00120A28">
              <w:t xml:space="preserve">No. </w:t>
            </w:r>
          </w:p>
        </w:tc>
        <w:tc>
          <w:tcPr>
            <w:tcW w:w="4327" w:type="dxa"/>
          </w:tcPr>
          <w:p w14:paraId="4CA30308" w14:textId="77777777" w:rsidR="004D7E47" w:rsidRPr="00120A28" w:rsidRDefault="004D7E47" w:rsidP="00844B09">
            <w:pPr>
              <w:pStyle w:val="Table-Header"/>
            </w:pPr>
            <w:r w:rsidRPr="00120A28">
              <w:t>Action</w:t>
            </w:r>
          </w:p>
        </w:tc>
        <w:tc>
          <w:tcPr>
            <w:tcW w:w="2602" w:type="dxa"/>
          </w:tcPr>
          <w:p w14:paraId="24B826BF" w14:textId="77777777" w:rsidR="004D7E47" w:rsidRPr="00120A28" w:rsidRDefault="004D7E47" w:rsidP="00844B09">
            <w:pPr>
              <w:pStyle w:val="Table-Header"/>
            </w:pPr>
            <w:r w:rsidRPr="00120A28">
              <w:t>Lead Directorate</w:t>
            </w:r>
          </w:p>
        </w:tc>
        <w:tc>
          <w:tcPr>
            <w:tcW w:w="2268" w:type="dxa"/>
          </w:tcPr>
          <w:p w14:paraId="47B322E3" w14:textId="77777777" w:rsidR="004D7E47" w:rsidRPr="00120A28" w:rsidRDefault="004D7E47" w:rsidP="00844B09">
            <w:pPr>
              <w:pStyle w:val="Table-Header"/>
            </w:pPr>
            <w:r w:rsidRPr="00120A28">
              <w:t>Timeframe</w:t>
            </w:r>
          </w:p>
        </w:tc>
        <w:tc>
          <w:tcPr>
            <w:tcW w:w="3442" w:type="dxa"/>
          </w:tcPr>
          <w:p w14:paraId="3E4E2C77" w14:textId="77777777" w:rsidR="004D7E47" w:rsidRPr="00120A28" w:rsidRDefault="004D7E47" w:rsidP="00844B09">
            <w:pPr>
              <w:pStyle w:val="Table-Header"/>
            </w:pPr>
            <w:r w:rsidRPr="00120A28">
              <w:t>Target</w:t>
            </w:r>
          </w:p>
        </w:tc>
      </w:tr>
      <w:tr w:rsidR="004D7E47" w14:paraId="25C7D829" w14:textId="77777777" w:rsidTr="004D7E47">
        <w:trPr>
          <w:cantSplit/>
        </w:trPr>
        <w:tc>
          <w:tcPr>
            <w:tcW w:w="1170" w:type="dxa"/>
          </w:tcPr>
          <w:p w14:paraId="798CFD63" w14:textId="31352C59" w:rsidR="004D7E47" w:rsidRDefault="004D7E47" w:rsidP="007F6FF1">
            <w:r>
              <w:t>8.1</w:t>
            </w:r>
          </w:p>
        </w:tc>
        <w:tc>
          <w:tcPr>
            <w:tcW w:w="4327" w:type="dxa"/>
          </w:tcPr>
          <w:p w14:paraId="30E1C516" w14:textId="2E72FCB5" w:rsidR="004D7E47" w:rsidRDefault="004D7E47" w:rsidP="007F6FF1">
            <w:r w:rsidRPr="00390B09">
              <w:t xml:space="preserve">We will lead </w:t>
            </w:r>
            <w:r w:rsidRPr="00390B09">
              <w:rPr>
                <w:b/>
                <w:bCs/>
              </w:rPr>
              <w:t xml:space="preserve">action 20 in Inclusive SA </w:t>
            </w:r>
            <w:r w:rsidRPr="00390B09">
              <w:t>by creating the Inclusive SA website (and consider other communication methods) to provide key resources for people living with disability and the community to raise awareness about disability.</w:t>
            </w:r>
          </w:p>
        </w:tc>
        <w:tc>
          <w:tcPr>
            <w:tcW w:w="2602" w:type="dxa"/>
          </w:tcPr>
          <w:p w14:paraId="6052BC39" w14:textId="0C55666D" w:rsidR="004D7E47" w:rsidRDefault="004D7E47" w:rsidP="007F6FF1">
            <w:r w:rsidRPr="00390B09">
              <w:t xml:space="preserve">Disability Access and Inclusion </w:t>
            </w:r>
          </w:p>
        </w:tc>
        <w:tc>
          <w:tcPr>
            <w:tcW w:w="2268" w:type="dxa"/>
          </w:tcPr>
          <w:p w14:paraId="610BD1BD" w14:textId="1E1D4507" w:rsidR="004D7E47" w:rsidRDefault="004D7E47" w:rsidP="00E16A8D">
            <w:r w:rsidRPr="00390B09">
              <w:t>November 2020</w:t>
            </w:r>
            <w:r w:rsidR="00E16A8D">
              <w:t xml:space="preserve"> and </w:t>
            </w:r>
            <w:r w:rsidRPr="00390B09">
              <w:t>June 2021</w:t>
            </w:r>
          </w:p>
        </w:tc>
        <w:tc>
          <w:tcPr>
            <w:tcW w:w="3442" w:type="dxa"/>
          </w:tcPr>
          <w:p w14:paraId="447D4338" w14:textId="037D6206" w:rsidR="004D7E47" w:rsidRPr="00390B09" w:rsidRDefault="004D7E47" w:rsidP="007F6FF1">
            <w:r w:rsidRPr="00390B09">
              <w:t>Website is created</w:t>
            </w:r>
            <w:r w:rsidR="00E16A8D">
              <w:t>.</w:t>
            </w:r>
            <w:r w:rsidRPr="00390B09">
              <w:t xml:space="preserve"> </w:t>
            </w:r>
          </w:p>
          <w:p w14:paraId="71A6C45B" w14:textId="14888E4B" w:rsidR="004D7E47" w:rsidRDefault="004D7E47" w:rsidP="007F6FF1">
            <w:r w:rsidRPr="00390B09">
              <w:t>Other communication methods are identified, with consideration for effective implementation.</w:t>
            </w:r>
          </w:p>
        </w:tc>
      </w:tr>
      <w:tr w:rsidR="004D7E47" w14:paraId="76B2B465" w14:textId="77777777" w:rsidTr="004D7E47">
        <w:trPr>
          <w:cantSplit/>
        </w:trPr>
        <w:tc>
          <w:tcPr>
            <w:tcW w:w="1170" w:type="dxa"/>
          </w:tcPr>
          <w:p w14:paraId="7EBC7588" w14:textId="263B7401" w:rsidR="004D7E47" w:rsidRDefault="004D7E47" w:rsidP="007F6FF1">
            <w:r>
              <w:lastRenderedPageBreak/>
              <w:t>8.2</w:t>
            </w:r>
          </w:p>
        </w:tc>
        <w:tc>
          <w:tcPr>
            <w:tcW w:w="4327" w:type="dxa"/>
          </w:tcPr>
          <w:p w14:paraId="33F64010" w14:textId="3E607F50" w:rsidR="004D7E47" w:rsidRDefault="004D7E47" w:rsidP="007F6FF1">
            <w:r w:rsidRPr="00D970D8">
              <w:t xml:space="preserve">We will lead </w:t>
            </w:r>
            <w:r w:rsidRPr="00D970D8">
              <w:rPr>
                <w:b/>
                <w:bCs/>
              </w:rPr>
              <w:t>action 21 in Inclusive SA</w:t>
            </w:r>
            <w:r w:rsidRPr="00D970D8">
              <w:t xml:space="preserve"> to develop a toolkit to support State authorities to ensure communication about their services is available in a range of accessible formats.</w:t>
            </w:r>
            <w:r>
              <w:t xml:space="preserve"> </w:t>
            </w:r>
            <w:r w:rsidRPr="00D970D8">
              <w:t xml:space="preserve">These may include </w:t>
            </w:r>
            <w:r w:rsidR="00122E9D">
              <w:t>easy read</w:t>
            </w:r>
            <w:r w:rsidRPr="00D970D8">
              <w:t xml:space="preserve">, Auslan, pictorial forms, large font, audible options, </w:t>
            </w:r>
            <w:r>
              <w:t>B</w:t>
            </w:r>
            <w:r w:rsidRPr="00D970D8">
              <w:t xml:space="preserve">raille, closed captions and </w:t>
            </w:r>
            <w:r>
              <w:t>VoiceO</w:t>
            </w:r>
            <w:r w:rsidRPr="00D970D8">
              <w:t>ver.</w:t>
            </w:r>
            <w:r>
              <w:t xml:space="preserve"> </w:t>
            </w:r>
          </w:p>
        </w:tc>
        <w:tc>
          <w:tcPr>
            <w:tcW w:w="2602" w:type="dxa"/>
          </w:tcPr>
          <w:p w14:paraId="090462F5" w14:textId="4ED64AF2" w:rsidR="004D7E47" w:rsidRDefault="004D7E47" w:rsidP="007F6FF1">
            <w:r w:rsidRPr="00390B09">
              <w:t>Disability Access and Inclusion</w:t>
            </w:r>
          </w:p>
        </w:tc>
        <w:tc>
          <w:tcPr>
            <w:tcW w:w="2268" w:type="dxa"/>
          </w:tcPr>
          <w:p w14:paraId="08550CE0" w14:textId="04457BFC" w:rsidR="004D7E47" w:rsidRDefault="004D7E47" w:rsidP="007F6FF1">
            <w:r>
              <w:t>December 2020 and June 2021</w:t>
            </w:r>
          </w:p>
        </w:tc>
        <w:tc>
          <w:tcPr>
            <w:tcW w:w="3442" w:type="dxa"/>
          </w:tcPr>
          <w:p w14:paraId="15747FF9" w14:textId="77777777" w:rsidR="004D7E47" w:rsidRPr="00390B09" w:rsidRDefault="004D7E47" w:rsidP="007F6FF1">
            <w:r w:rsidRPr="00390B09">
              <w:t>Draft toolkits are delivered in phase 1.</w:t>
            </w:r>
          </w:p>
          <w:p w14:paraId="5DC8AD71" w14:textId="315E432F" w:rsidR="004D7E47" w:rsidRDefault="004D7E47" w:rsidP="007F6FF1">
            <w:r w:rsidRPr="00390B09">
              <w:t>Toolkits are further refined in consultation with stakeholders, published and available in accessible formats in phase 2.</w:t>
            </w:r>
          </w:p>
        </w:tc>
      </w:tr>
      <w:tr w:rsidR="004D7E47" w14:paraId="35670463" w14:textId="77777777" w:rsidTr="004D7E47">
        <w:trPr>
          <w:cantSplit/>
        </w:trPr>
        <w:tc>
          <w:tcPr>
            <w:tcW w:w="1170" w:type="dxa"/>
          </w:tcPr>
          <w:p w14:paraId="46672C58" w14:textId="506A25C2" w:rsidR="004D7E47" w:rsidRDefault="004D7E47" w:rsidP="007F6FF1">
            <w:r>
              <w:t>8.3</w:t>
            </w:r>
          </w:p>
        </w:tc>
        <w:tc>
          <w:tcPr>
            <w:tcW w:w="4327" w:type="dxa"/>
          </w:tcPr>
          <w:p w14:paraId="7F1D007C" w14:textId="19A879CD" w:rsidR="004D7E47" w:rsidRDefault="004D7E47" w:rsidP="007F6FF1">
            <w:r w:rsidRPr="00390B09">
              <w:t xml:space="preserve">We will develop </w:t>
            </w:r>
            <w:r w:rsidR="00122E9D">
              <w:t>easy read</w:t>
            </w:r>
            <w:r w:rsidRPr="00390B09">
              <w:t xml:space="preserve"> fact sheets for Accommodation Services clients living with disability about the work of the Internal Audit division to ensure services are safe and of high quality.</w:t>
            </w:r>
            <w:r>
              <w:t xml:space="preserve"> </w:t>
            </w:r>
          </w:p>
        </w:tc>
        <w:tc>
          <w:tcPr>
            <w:tcW w:w="2602" w:type="dxa"/>
          </w:tcPr>
          <w:p w14:paraId="16A8910E" w14:textId="47DA79A8" w:rsidR="004D7E47" w:rsidRDefault="004D7E47" w:rsidP="007F6FF1">
            <w:r w:rsidRPr="00390B09">
              <w:t xml:space="preserve">Internal Audit </w:t>
            </w:r>
          </w:p>
        </w:tc>
        <w:tc>
          <w:tcPr>
            <w:tcW w:w="2268" w:type="dxa"/>
          </w:tcPr>
          <w:p w14:paraId="5BD1913D" w14:textId="237A04B7" w:rsidR="004D7E47" w:rsidRDefault="004D7E47" w:rsidP="007F6FF1">
            <w:r w:rsidRPr="00390B09">
              <w:t>December 2020</w:t>
            </w:r>
          </w:p>
        </w:tc>
        <w:tc>
          <w:tcPr>
            <w:tcW w:w="3442" w:type="dxa"/>
          </w:tcPr>
          <w:p w14:paraId="6F87C733" w14:textId="77777777" w:rsidR="00692B69" w:rsidRDefault="004D7E47" w:rsidP="007F6FF1">
            <w:r w:rsidRPr="00390B09">
              <w:t>Fact sheets completed and implemented during audits</w:t>
            </w:r>
            <w:r w:rsidR="00692B69">
              <w:t>.</w:t>
            </w:r>
          </w:p>
          <w:p w14:paraId="11BDB21F" w14:textId="0EFA8A56" w:rsidR="004D7E47" w:rsidRDefault="00692B69" w:rsidP="007F6FF1">
            <w:r w:rsidRPr="00692B69">
              <w:t xml:space="preserve">Easy read Customer Charter developed.  </w:t>
            </w:r>
          </w:p>
        </w:tc>
      </w:tr>
      <w:tr w:rsidR="004D7E47" w14:paraId="1CDAECA6" w14:textId="77777777" w:rsidTr="004D7E47">
        <w:trPr>
          <w:cantSplit/>
        </w:trPr>
        <w:tc>
          <w:tcPr>
            <w:tcW w:w="1170" w:type="dxa"/>
          </w:tcPr>
          <w:p w14:paraId="3115601A" w14:textId="2638E8F8" w:rsidR="004D7E47" w:rsidRDefault="004D7E47" w:rsidP="007F6FF1">
            <w:r>
              <w:t>8.4</w:t>
            </w:r>
          </w:p>
        </w:tc>
        <w:tc>
          <w:tcPr>
            <w:tcW w:w="4327" w:type="dxa"/>
          </w:tcPr>
          <w:p w14:paraId="1C149638" w14:textId="70333986" w:rsidR="004D7E47" w:rsidRDefault="004D7E47" w:rsidP="007F6FF1">
            <w:r w:rsidRPr="00390B09">
              <w:t xml:space="preserve">We will audit the accessibility of the Office for Women website and ensure new content meets online accessibility standards. </w:t>
            </w:r>
          </w:p>
        </w:tc>
        <w:tc>
          <w:tcPr>
            <w:tcW w:w="2602" w:type="dxa"/>
          </w:tcPr>
          <w:p w14:paraId="5CD3B4D7" w14:textId="7832B0DA" w:rsidR="004D7E47" w:rsidRDefault="004D7E47" w:rsidP="007F6FF1">
            <w:r w:rsidRPr="00390B09">
              <w:t>Office for Women</w:t>
            </w:r>
          </w:p>
        </w:tc>
        <w:tc>
          <w:tcPr>
            <w:tcW w:w="2268" w:type="dxa"/>
          </w:tcPr>
          <w:p w14:paraId="7AE2630C" w14:textId="2DA94B89" w:rsidR="004D7E47" w:rsidRPr="00390B09" w:rsidRDefault="004D7E47" w:rsidP="007F6FF1">
            <w:r w:rsidRPr="00390B09">
              <w:t>Ongoing</w:t>
            </w:r>
            <w:r>
              <w:t xml:space="preserve"> and </w:t>
            </w:r>
            <w:r w:rsidRPr="00390B09">
              <w:t>June 2021</w:t>
            </w:r>
          </w:p>
          <w:p w14:paraId="40CD756C" w14:textId="77777777" w:rsidR="004D7E47" w:rsidRDefault="004D7E47" w:rsidP="007F6FF1"/>
        </w:tc>
        <w:tc>
          <w:tcPr>
            <w:tcW w:w="3442" w:type="dxa"/>
          </w:tcPr>
          <w:p w14:paraId="59FECB0E" w14:textId="77777777" w:rsidR="004D7E47" w:rsidRPr="00390B09" w:rsidRDefault="004D7E47" w:rsidP="007F6FF1">
            <w:r w:rsidRPr="00390B09">
              <w:t>New web content meets online accessibility standards</w:t>
            </w:r>
          </w:p>
          <w:p w14:paraId="251E777E" w14:textId="1EC0B021" w:rsidR="004D7E47" w:rsidRDefault="004D7E47" w:rsidP="007F6FF1">
            <w:r w:rsidRPr="00390B09">
              <w:t>Existing content is systematically reviewed to ensure it meets accessibility standards.</w:t>
            </w:r>
          </w:p>
        </w:tc>
      </w:tr>
      <w:tr w:rsidR="004D7E47" w14:paraId="4F273C96" w14:textId="77777777" w:rsidTr="004D7E47">
        <w:trPr>
          <w:cantSplit/>
        </w:trPr>
        <w:tc>
          <w:tcPr>
            <w:tcW w:w="1170" w:type="dxa"/>
          </w:tcPr>
          <w:p w14:paraId="1DA442EE" w14:textId="27D9BE0D" w:rsidR="004D7E47" w:rsidRDefault="004D7E47" w:rsidP="007F6FF1">
            <w:r>
              <w:t>8.5</w:t>
            </w:r>
          </w:p>
        </w:tc>
        <w:tc>
          <w:tcPr>
            <w:tcW w:w="4327" w:type="dxa"/>
          </w:tcPr>
          <w:p w14:paraId="41A854B7" w14:textId="3CF033DC" w:rsidR="004D7E47" w:rsidRDefault="004D7E47" w:rsidP="007F6FF1">
            <w:r w:rsidRPr="00390B09">
              <w:t>We will develop an accessible (</w:t>
            </w:r>
            <w:r w:rsidR="00122E9D">
              <w:t>easy read</w:t>
            </w:r>
            <w:r w:rsidRPr="00390B09">
              <w:t>) Women’s Information Service brochure.</w:t>
            </w:r>
          </w:p>
        </w:tc>
        <w:tc>
          <w:tcPr>
            <w:tcW w:w="2602" w:type="dxa"/>
          </w:tcPr>
          <w:p w14:paraId="71C6C96B" w14:textId="16A9A664" w:rsidR="004D7E47" w:rsidRDefault="004D7E47" w:rsidP="007F6FF1">
            <w:r w:rsidRPr="00390B09">
              <w:t>Office for Women</w:t>
            </w:r>
          </w:p>
        </w:tc>
        <w:tc>
          <w:tcPr>
            <w:tcW w:w="2268" w:type="dxa"/>
          </w:tcPr>
          <w:p w14:paraId="7229FF03" w14:textId="056111AA" w:rsidR="004D7E47" w:rsidRDefault="004D7E47" w:rsidP="007F6FF1">
            <w:r w:rsidRPr="00390B09">
              <w:t>July 2021</w:t>
            </w:r>
          </w:p>
        </w:tc>
        <w:tc>
          <w:tcPr>
            <w:tcW w:w="3442" w:type="dxa"/>
          </w:tcPr>
          <w:p w14:paraId="5028FAB8" w14:textId="48BBB9EA" w:rsidR="004D7E47" w:rsidRDefault="004D7E47" w:rsidP="007F6FF1">
            <w:r w:rsidRPr="00390B09">
              <w:t xml:space="preserve">Easy </w:t>
            </w:r>
            <w:r w:rsidR="00122E9D">
              <w:t>r</w:t>
            </w:r>
            <w:r w:rsidRPr="00390B09">
              <w:t>ead brochure developed and promoted</w:t>
            </w:r>
            <w:r>
              <w:t>.</w:t>
            </w:r>
          </w:p>
        </w:tc>
      </w:tr>
      <w:tr w:rsidR="004D7E47" w14:paraId="0D550AC3" w14:textId="77777777" w:rsidTr="004D7E47">
        <w:trPr>
          <w:cantSplit/>
        </w:trPr>
        <w:tc>
          <w:tcPr>
            <w:tcW w:w="1170" w:type="dxa"/>
          </w:tcPr>
          <w:p w14:paraId="583C5302" w14:textId="5B37EFFA" w:rsidR="004D7E47" w:rsidRDefault="004D7E47" w:rsidP="007F6FF1">
            <w:r>
              <w:lastRenderedPageBreak/>
              <w:t>8.6</w:t>
            </w:r>
          </w:p>
        </w:tc>
        <w:tc>
          <w:tcPr>
            <w:tcW w:w="4327" w:type="dxa"/>
          </w:tcPr>
          <w:p w14:paraId="1D4968EB" w14:textId="0F93A070" w:rsidR="004D7E47" w:rsidRDefault="004D7E47" w:rsidP="007F6FF1">
            <w:r w:rsidRPr="00390B09">
              <w:t>We will ensure our web and intranet editors are aware of, and practice, online accessibility principles.</w:t>
            </w:r>
          </w:p>
        </w:tc>
        <w:tc>
          <w:tcPr>
            <w:tcW w:w="2602" w:type="dxa"/>
          </w:tcPr>
          <w:p w14:paraId="244AB625" w14:textId="2D7EA382" w:rsidR="004D7E47" w:rsidRDefault="004D7E47" w:rsidP="007F6FF1">
            <w:r w:rsidRPr="00390B09">
              <w:t xml:space="preserve">Communications and Engagement </w:t>
            </w:r>
          </w:p>
        </w:tc>
        <w:tc>
          <w:tcPr>
            <w:tcW w:w="2268" w:type="dxa"/>
          </w:tcPr>
          <w:p w14:paraId="613A7AD0" w14:textId="1FC78ADA" w:rsidR="004D7E47" w:rsidRDefault="004D7E47" w:rsidP="007F6FF1">
            <w:r w:rsidRPr="00390B09">
              <w:t>December 2020</w:t>
            </w:r>
            <w:r>
              <w:t xml:space="preserve"> and </w:t>
            </w:r>
            <w:r w:rsidRPr="00390B09">
              <w:rPr>
                <w:rFonts w:eastAsia="Calibri"/>
              </w:rPr>
              <w:t>October 2020</w:t>
            </w:r>
          </w:p>
        </w:tc>
        <w:tc>
          <w:tcPr>
            <w:tcW w:w="3442" w:type="dxa"/>
          </w:tcPr>
          <w:p w14:paraId="372247B0" w14:textId="0850826C" w:rsidR="004D7E47" w:rsidRPr="00390B09" w:rsidRDefault="004D7E47" w:rsidP="007F6FF1">
            <w:r w:rsidRPr="00390B09">
              <w:t xml:space="preserve">100 </w:t>
            </w:r>
            <w:r w:rsidR="004A4260">
              <w:t>percent</w:t>
            </w:r>
            <w:r>
              <w:t xml:space="preserve"> </w:t>
            </w:r>
            <w:r w:rsidRPr="00390B09">
              <w:t>of DHS online editors receive accessibility training and it is recorded.</w:t>
            </w:r>
            <w:r w:rsidRPr="00390B09">
              <w:rPr>
                <w:color w:val="4BA524"/>
              </w:rPr>
              <w:t xml:space="preserve"> </w:t>
            </w:r>
          </w:p>
          <w:p w14:paraId="5AFEA5EE" w14:textId="77777777" w:rsidR="004D7E47" w:rsidRPr="00390B09" w:rsidRDefault="004D7E47" w:rsidP="007F6FF1">
            <w:r w:rsidRPr="00390B09">
              <w:t>All web editors have completed this training; we are actioning a plan to train all intranet editors as well.</w:t>
            </w:r>
          </w:p>
          <w:p w14:paraId="1B866172" w14:textId="76308BED" w:rsidR="004D7E47" w:rsidRDefault="004D7E47" w:rsidP="007F6FF1">
            <w:r w:rsidRPr="00390B09">
              <w:rPr>
                <w:rFonts w:eastAsia="Calibri"/>
              </w:rPr>
              <w:t xml:space="preserve">New materials and 'quick reference guides' are also being worked on to ensure accessibility is at the top-of-mind for anyone looking at web and intranet content. </w:t>
            </w:r>
          </w:p>
        </w:tc>
      </w:tr>
      <w:tr w:rsidR="004D7E47" w14:paraId="45A2D33D" w14:textId="77777777" w:rsidTr="004D7E47">
        <w:trPr>
          <w:cantSplit/>
        </w:trPr>
        <w:tc>
          <w:tcPr>
            <w:tcW w:w="1170" w:type="dxa"/>
          </w:tcPr>
          <w:p w14:paraId="7BE90F70" w14:textId="3CE384C1" w:rsidR="004D7E47" w:rsidRDefault="004D7E47" w:rsidP="007F6FF1">
            <w:r>
              <w:t>8.7</w:t>
            </w:r>
          </w:p>
        </w:tc>
        <w:tc>
          <w:tcPr>
            <w:tcW w:w="4327" w:type="dxa"/>
          </w:tcPr>
          <w:p w14:paraId="37023D64" w14:textId="3358EBC5" w:rsidR="004D7E47" w:rsidRDefault="004D7E47" w:rsidP="007F6FF1">
            <w:r w:rsidRPr="00390B09">
              <w:rPr>
                <w:rFonts w:eastAsia="Arial"/>
              </w:rPr>
              <w:t xml:space="preserve">We will support the implementation of </w:t>
            </w:r>
            <w:r w:rsidRPr="00390B09">
              <w:rPr>
                <w:rFonts w:eastAsia="Arial"/>
                <w:b/>
                <w:bCs/>
              </w:rPr>
              <w:t>action 22 in Inclusive SA</w:t>
            </w:r>
            <w:r w:rsidRPr="00390B09">
              <w:rPr>
                <w:rFonts w:eastAsia="Arial"/>
              </w:rPr>
              <w:t xml:space="preserve"> by improving online accessibility of its websites using the Online Accessibility Policy and related guidelines.</w:t>
            </w:r>
            <w:r>
              <w:rPr>
                <w:rFonts w:eastAsia="Arial"/>
              </w:rPr>
              <w:t xml:space="preserve"> </w:t>
            </w:r>
          </w:p>
        </w:tc>
        <w:tc>
          <w:tcPr>
            <w:tcW w:w="2602" w:type="dxa"/>
          </w:tcPr>
          <w:p w14:paraId="7559B3EA" w14:textId="77777777" w:rsidR="004D7E47" w:rsidRPr="00390B09" w:rsidRDefault="004D7E47" w:rsidP="007F6FF1">
            <w:r w:rsidRPr="00390B09">
              <w:t>Communications and Engagement</w:t>
            </w:r>
          </w:p>
          <w:p w14:paraId="6BF9E8FC" w14:textId="77777777" w:rsidR="004D7E47" w:rsidRDefault="004D7E47" w:rsidP="007F6FF1"/>
        </w:tc>
        <w:tc>
          <w:tcPr>
            <w:tcW w:w="2268" w:type="dxa"/>
          </w:tcPr>
          <w:p w14:paraId="4105D795" w14:textId="77777777" w:rsidR="0036500B" w:rsidRDefault="004D7E47" w:rsidP="007F6FF1">
            <w:r w:rsidRPr="00390B09">
              <w:t>Ongoing</w:t>
            </w:r>
            <w:r>
              <w:t xml:space="preserve">, </w:t>
            </w:r>
            <w:r w:rsidRPr="00390B09">
              <w:t>October 2020</w:t>
            </w:r>
            <w:r>
              <w:t xml:space="preserve"> and </w:t>
            </w:r>
            <w:r w:rsidRPr="00390B09">
              <w:t>July 2021</w:t>
            </w:r>
          </w:p>
          <w:p w14:paraId="6D6C0C92" w14:textId="279CAF82" w:rsidR="004D7E47" w:rsidRDefault="004D7E47" w:rsidP="007F6FF1"/>
        </w:tc>
        <w:tc>
          <w:tcPr>
            <w:tcW w:w="3442" w:type="dxa"/>
          </w:tcPr>
          <w:p w14:paraId="54943A3A" w14:textId="33B87FE9" w:rsidR="004D7E47" w:rsidRPr="00390B09" w:rsidRDefault="004D7E47" w:rsidP="007F6FF1">
            <w:r w:rsidRPr="00390B09">
              <w:t xml:space="preserve">90 </w:t>
            </w:r>
            <w:r w:rsidR="004A4260">
              <w:t>percent</w:t>
            </w:r>
            <w:r>
              <w:t xml:space="preserve"> </w:t>
            </w:r>
            <w:r w:rsidRPr="00390B09">
              <w:t xml:space="preserve">or greater accessibility rating for DHS websites, as measured by auditing software. </w:t>
            </w:r>
          </w:p>
          <w:p w14:paraId="44B1E5C9" w14:textId="77777777" w:rsidR="004D7E47" w:rsidRPr="00390B09" w:rsidRDefault="004D7E47" w:rsidP="007F6FF1">
            <w:r w:rsidRPr="00390B09">
              <w:t xml:space="preserve">We are implementing quarterly reporting to demonstrate our web accessibility. The first report will be available in October. </w:t>
            </w:r>
            <w:r w:rsidRPr="00390B09">
              <w:rPr>
                <w:rFonts w:cs="Arial"/>
              </w:rPr>
              <w:t>​</w:t>
            </w:r>
          </w:p>
          <w:p w14:paraId="652B3526" w14:textId="43DA7F87" w:rsidR="004D7E47" w:rsidRDefault="004D7E47" w:rsidP="007F6FF1">
            <w:r w:rsidRPr="00390B09">
              <w:t xml:space="preserve">Our intranet is being redesigned so it can be easily navigated. As part of this redesign, all intranet content will also be reviewed to ensure it meets accessibility guidelines. This project has </w:t>
            </w:r>
            <w:r w:rsidR="00E16A8D">
              <w:t xml:space="preserve">commenced </w:t>
            </w:r>
            <w:r w:rsidRPr="00390B09">
              <w:t xml:space="preserve">and is being rolled out incrementally. </w:t>
            </w:r>
          </w:p>
        </w:tc>
      </w:tr>
      <w:tr w:rsidR="004D7E47" w14:paraId="68610A45" w14:textId="77777777" w:rsidTr="004D7E47">
        <w:trPr>
          <w:cantSplit/>
        </w:trPr>
        <w:tc>
          <w:tcPr>
            <w:tcW w:w="1170" w:type="dxa"/>
          </w:tcPr>
          <w:p w14:paraId="5BDD01D2" w14:textId="3144946C" w:rsidR="004D7E47" w:rsidRDefault="004D7E47" w:rsidP="007F6FF1">
            <w:r>
              <w:lastRenderedPageBreak/>
              <w:t>8.8</w:t>
            </w:r>
          </w:p>
        </w:tc>
        <w:tc>
          <w:tcPr>
            <w:tcW w:w="4327" w:type="dxa"/>
          </w:tcPr>
          <w:p w14:paraId="489BBD11" w14:textId="31EC82FF" w:rsidR="004D7E47" w:rsidRDefault="004D7E47" w:rsidP="007F6FF1">
            <w:r w:rsidRPr="00390B09">
              <w:t>We will ensure our web content is on responsive websites that automatically respond to different devices and the user’s preference.</w:t>
            </w:r>
          </w:p>
        </w:tc>
        <w:tc>
          <w:tcPr>
            <w:tcW w:w="2602" w:type="dxa"/>
          </w:tcPr>
          <w:p w14:paraId="19B0FE9C" w14:textId="596A4CDF" w:rsidR="004D7E47" w:rsidRDefault="004D7E47" w:rsidP="007F6FF1">
            <w:r w:rsidRPr="00390B09">
              <w:t>Communications and Engagement</w:t>
            </w:r>
          </w:p>
        </w:tc>
        <w:tc>
          <w:tcPr>
            <w:tcW w:w="2268" w:type="dxa"/>
          </w:tcPr>
          <w:p w14:paraId="36245A73" w14:textId="5E13F7DA" w:rsidR="004D7E47" w:rsidRDefault="004D7E47" w:rsidP="007F6FF1">
            <w:r w:rsidRPr="00390B09">
              <w:rPr>
                <w:shd w:val="clear" w:color="auto" w:fill="FFFFFF"/>
              </w:rPr>
              <w:t xml:space="preserve">January </w:t>
            </w:r>
            <w:r w:rsidRPr="00390B09">
              <w:t>2021</w:t>
            </w:r>
          </w:p>
        </w:tc>
        <w:tc>
          <w:tcPr>
            <w:tcW w:w="3442" w:type="dxa"/>
          </w:tcPr>
          <w:p w14:paraId="3F18552A" w14:textId="77777777" w:rsidR="004D7E47" w:rsidRPr="00390B09" w:rsidRDefault="004D7E47" w:rsidP="007F6FF1">
            <w:pPr>
              <w:rPr>
                <w:shd w:val="clear" w:color="auto" w:fill="FFFFFF"/>
              </w:rPr>
            </w:pPr>
            <w:r w:rsidRPr="00390B09">
              <w:t>DHS web content is responsive as defined by Web Content Accessibility Guidelines (WCAG) 2.1 AA.</w:t>
            </w:r>
          </w:p>
          <w:p w14:paraId="2BAEB4F6" w14:textId="23880679" w:rsidR="004D7E47" w:rsidRDefault="004D7E47" w:rsidP="007F6FF1">
            <w:r w:rsidRPr="00390B09">
              <w:rPr>
                <w:shd w:val="clear" w:color="auto" w:fill="FFFFFF"/>
              </w:rPr>
              <w:t>We are looking to leverage DPC's web templates, which have passed thorough accessibility testing and have been specifically designed to be fully responsive.</w:t>
            </w:r>
          </w:p>
        </w:tc>
      </w:tr>
      <w:tr w:rsidR="004D7E47" w14:paraId="2981AA08" w14:textId="77777777" w:rsidTr="004D7E47">
        <w:trPr>
          <w:cantSplit/>
        </w:trPr>
        <w:tc>
          <w:tcPr>
            <w:tcW w:w="1170" w:type="dxa"/>
          </w:tcPr>
          <w:p w14:paraId="6B33D79B" w14:textId="654102E8" w:rsidR="004D7E47" w:rsidRDefault="004D7E47" w:rsidP="007F6FF1">
            <w:r>
              <w:t>8.9</w:t>
            </w:r>
          </w:p>
        </w:tc>
        <w:tc>
          <w:tcPr>
            <w:tcW w:w="4327" w:type="dxa"/>
          </w:tcPr>
          <w:p w14:paraId="3EE342B4" w14:textId="2EB8D114" w:rsidR="004D7E47" w:rsidRDefault="004D7E47" w:rsidP="007F6FF1">
            <w:r w:rsidRPr="00390B09">
              <w:t>We will ensure that our online non-text content will have alternative methods of access available.</w:t>
            </w:r>
          </w:p>
        </w:tc>
        <w:tc>
          <w:tcPr>
            <w:tcW w:w="2602" w:type="dxa"/>
          </w:tcPr>
          <w:p w14:paraId="2F82D4B9" w14:textId="0339BD91" w:rsidR="004D7E47" w:rsidRDefault="004D7E47" w:rsidP="007F6FF1">
            <w:r w:rsidRPr="00390B09">
              <w:t xml:space="preserve">Communications and Engagement and Business </w:t>
            </w:r>
            <w:r>
              <w:t xml:space="preserve">Improvement and </w:t>
            </w:r>
            <w:r w:rsidRPr="00390B09">
              <w:t>Technology</w:t>
            </w:r>
          </w:p>
        </w:tc>
        <w:tc>
          <w:tcPr>
            <w:tcW w:w="2268" w:type="dxa"/>
          </w:tcPr>
          <w:p w14:paraId="1D589204" w14:textId="0A076C71" w:rsidR="004D7E47" w:rsidRPr="00390B09" w:rsidRDefault="004D7E47" w:rsidP="007F6FF1">
            <w:r w:rsidRPr="00390B09">
              <w:t>November 2020</w:t>
            </w:r>
            <w:r>
              <w:t xml:space="preserve"> and </w:t>
            </w:r>
            <w:r w:rsidRPr="00390B09">
              <w:t>January 2021</w:t>
            </w:r>
          </w:p>
          <w:p w14:paraId="4927952C" w14:textId="77777777" w:rsidR="004D7E47" w:rsidRDefault="004D7E47" w:rsidP="007F6FF1"/>
        </w:tc>
        <w:tc>
          <w:tcPr>
            <w:tcW w:w="3442" w:type="dxa"/>
          </w:tcPr>
          <w:p w14:paraId="69E677F8" w14:textId="23D7613D" w:rsidR="004D7E47" w:rsidRPr="00390B09" w:rsidRDefault="004D7E47" w:rsidP="007F6FF1">
            <w:r w:rsidRPr="00390B09">
              <w:t xml:space="preserve">80 </w:t>
            </w:r>
            <w:r w:rsidR="004A4260">
              <w:t>percent</w:t>
            </w:r>
            <w:r>
              <w:t xml:space="preserve"> </w:t>
            </w:r>
            <w:r w:rsidRPr="00390B09">
              <w:t>of video and audio content on DHS websites and intranets are captioned or supplied with a transcript.</w:t>
            </w:r>
          </w:p>
          <w:p w14:paraId="0E929C45" w14:textId="4995611A" w:rsidR="004D7E47" w:rsidRDefault="004D7E47" w:rsidP="007F6FF1">
            <w:r w:rsidRPr="00390B09">
              <w:t>Transcripts must be provided with any multimedia content to be posted online; reporting on this will be included in our accessibility audits that will be produced quarterly.</w:t>
            </w:r>
          </w:p>
        </w:tc>
      </w:tr>
      <w:tr w:rsidR="004D7E47" w14:paraId="379A18F6" w14:textId="77777777" w:rsidTr="004D7E47">
        <w:trPr>
          <w:cantSplit/>
        </w:trPr>
        <w:tc>
          <w:tcPr>
            <w:tcW w:w="1170" w:type="dxa"/>
          </w:tcPr>
          <w:p w14:paraId="74151281" w14:textId="3F65A900" w:rsidR="004D7E47" w:rsidRDefault="004D7E47" w:rsidP="007F6FF1">
            <w:r>
              <w:lastRenderedPageBreak/>
              <w:t>8.10</w:t>
            </w:r>
          </w:p>
        </w:tc>
        <w:tc>
          <w:tcPr>
            <w:tcW w:w="4327" w:type="dxa"/>
          </w:tcPr>
          <w:p w14:paraId="0649FA67" w14:textId="77777777" w:rsidR="004D7E47" w:rsidRPr="00390B09" w:rsidRDefault="004D7E47" w:rsidP="007F6FF1">
            <w:r w:rsidRPr="00390B09">
              <w:t>We will ensure our publications will display inclusive imagery and be available in accessible formats.</w:t>
            </w:r>
          </w:p>
          <w:p w14:paraId="6773CC42" w14:textId="77777777" w:rsidR="004D7E47" w:rsidRDefault="004D7E47" w:rsidP="007F6FF1"/>
        </w:tc>
        <w:tc>
          <w:tcPr>
            <w:tcW w:w="2602" w:type="dxa"/>
          </w:tcPr>
          <w:p w14:paraId="606FE14F" w14:textId="2BA74E57" w:rsidR="004D7E47" w:rsidRDefault="004D7E47" w:rsidP="007F6FF1">
            <w:r w:rsidRPr="00390B09">
              <w:t>Communications and Engagement</w:t>
            </w:r>
            <w:r w:rsidR="00077724">
              <w:t xml:space="preserve">, and </w:t>
            </w:r>
            <w:r w:rsidR="00077724" w:rsidRPr="00077724">
              <w:t>Accommodation Services</w:t>
            </w:r>
          </w:p>
        </w:tc>
        <w:tc>
          <w:tcPr>
            <w:tcW w:w="2268" w:type="dxa"/>
          </w:tcPr>
          <w:p w14:paraId="3F236BAA" w14:textId="45A898ED" w:rsidR="004D7E47" w:rsidRDefault="004D7E47" w:rsidP="007F6FF1">
            <w:r w:rsidRPr="00390B09">
              <w:t>2021</w:t>
            </w:r>
          </w:p>
        </w:tc>
        <w:tc>
          <w:tcPr>
            <w:tcW w:w="3442" w:type="dxa"/>
          </w:tcPr>
          <w:p w14:paraId="28691A31" w14:textId="64472440" w:rsidR="004D7E47" w:rsidRDefault="004D7E47" w:rsidP="007F6FF1">
            <w:r w:rsidRPr="00390B09">
              <w:t>DHS main branding elements, templates, paragraph styles, colours, fonts and paper stock are selected in consideration of accessibility guidelines.</w:t>
            </w:r>
          </w:p>
          <w:p w14:paraId="37F2F585" w14:textId="1846A7B5" w:rsidR="004D7E47" w:rsidRPr="00390B09" w:rsidRDefault="004D7E47" w:rsidP="007F6FF1">
            <w:r w:rsidRPr="00390B09">
              <w:t>DHS corporate publications are designed by staff who have knowledge of accessible and inclusive formats (including colour, text and imagery) and liaise with subject experts as necessary.</w:t>
            </w:r>
          </w:p>
          <w:p w14:paraId="3AD48D9C" w14:textId="46DB4086" w:rsidR="004D7E47" w:rsidRDefault="00FF526F" w:rsidP="007F6FF1">
            <w:r w:rsidRPr="00FF526F">
              <w:t>To increase the use of inclusive imagery (photography in​ particular), we will complete a photoshoot. This will provide a large library of images that represent a diverse range of people for use across all DHS materials</w:t>
            </w:r>
            <w:r w:rsidR="004D7E47" w:rsidRPr="00390B09">
              <w:t>.</w:t>
            </w:r>
          </w:p>
          <w:p w14:paraId="4CE63C0A" w14:textId="2F6A9981" w:rsidR="00077724" w:rsidRDefault="00077724" w:rsidP="007F6FF1">
            <w:r w:rsidRPr="00077724">
              <w:t>Accommodation Customer Charter developed in an accessible format.</w:t>
            </w:r>
          </w:p>
        </w:tc>
      </w:tr>
      <w:tr w:rsidR="004D7E47" w14:paraId="4B195EFD" w14:textId="77777777" w:rsidTr="004D7E47">
        <w:trPr>
          <w:cantSplit/>
        </w:trPr>
        <w:tc>
          <w:tcPr>
            <w:tcW w:w="1170" w:type="dxa"/>
          </w:tcPr>
          <w:p w14:paraId="71A6A757" w14:textId="30008470" w:rsidR="004D7E47" w:rsidRDefault="004D7E47" w:rsidP="007F6FF1">
            <w:r>
              <w:t>8.11</w:t>
            </w:r>
          </w:p>
        </w:tc>
        <w:tc>
          <w:tcPr>
            <w:tcW w:w="4327" w:type="dxa"/>
          </w:tcPr>
          <w:p w14:paraId="216EA90C" w14:textId="214B10E7" w:rsidR="004D7E47" w:rsidRDefault="004D7E47" w:rsidP="007F6FF1">
            <w:r w:rsidRPr="00390B09">
              <w:t>We will ensure that our public events include planning for disability access and inclusion requirements and the use of interpreters (for example A</w:t>
            </w:r>
            <w:r w:rsidR="00676B3A">
              <w:t>uslan</w:t>
            </w:r>
            <w:r w:rsidRPr="00390B09">
              <w:t>).</w:t>
            </w:r>
          </w:p>
        </w:tc>
        <w:tc>
          <w:tcPr>
            <w:tcW w:w="2602" w:type="dxa"/>
          </w:tcPr>
          <w:p w14:paraId="2D57FAB7" w14:textId="37F0FA6A" w:rsidR="004D7E47" w:rsidRDefault="004D7E47" w:rsidP="007F6FF1">
            <w:r w:rsidRPr="00390B09">
              <w:t>All directorates</w:t>
            </w:r>
          </w:p>
        </w:tc>
        <w:tc>
          <w:tcPr>
            <w:tcW w:w="2268" w:type="dxa"/>
          </w:tcPr>
          <w:p w14:paraId="233A11A7" w14:textId="32C390AC" w:rsidR="004D7E47" w:rsidRDefault="004D7E47" w:rsidP="007F6FF1">
            <w:r w:rsidRPr="00390B09">
              <w:t>Ongoing</w:t>
            </w:r>
          </w:p>
        </w:tc>
        <w:tc>
          <w:tcPr>
            <w:tcW w:w="3442" w:type="dxa"/>
          </w:tcPr>
          <w:p w14:paraId="05C3FEFA" w14:textId="6DA567A3" w:rsidR="004D7E47" w:rsidRDefault="004D7E47" w:rsidP="007F6FF1">
            <w:r w:rsidRPr="00390B09">
              <w:t xml:space="preserve">100 </w:t>
            </w:r>
            <w:r w:rsidR="004A4260">
              <w:t>percent</w:t>
            </w:r>
            <w:r>
              <w:t xml:space="preserve"> </w:t>
            </w:r>
            <w:r w:rsidRPr="00390B09">
              <w:t>of DHS</w:t>
            </w:r>
            <w:r>
              <w:t>-</w:t>
            </w:r>
            <w:r w:rsidRPr="00390B09">
              <w:t>led events meet disability access requirements including the use of interpreters (</w:t>
            </w:r>
            <w:r w:rsidR="00F020F9">
              <w:t>f</w:t>
            </w:r>
            <w:r w:rsidRPr="00390B09">
              <w:t>or example A</w:t>
            </w:r>
            <w:r>
              <w:t>uslan</w:t>
            </w:r>
            <w:r w:rsidRPr="00390B09">
              <w:t>) as required.</w:t>
            </w:r>
          </w:p>
        </w:tc>
      </w:tr>
      <w:tr w:rsidR="004D7E47" w14:paraId="1BC9F365" w14:textId="77777777" w:rsidTr="004D7E47">
        <w:trPr>
          <w:cantSplit/>
        </w:trPr>
        <w:tc>
          <w:tcPr>
            <w:tcW w:w="1170" w:type="dxa"/>
          </w:tcPr>
          <w:p w14:paraId="044F5BFE" w14:textId="79C0E1BA" w:rsidR="004D7E47" w:rsidRDefault="004D7E47" w:rsidP="007F6FF1">
            <w:r>
              <w:lastRenderedPageBreak/>
              <w:t>8.12</w:t>
            </w:r>
          </w:p>
        </w:tc>
        <w:tc>
          <w:tcPr>
            <w:tcW w:w="4327" w:type="dxa"/>
          </w:tcPr>
          <w:p w14:paraId="7388D9DD" w14:textId="04957D61" w:rsidR="004D7E47" w:rsidRDefault="004D7E47" w:rsidP="007F6FF1">
            <w:r w:rsidRPr="00390B09">
              <w:t xml:space="preserve">We will build capacity within the </w:t>
            </w:r>
            <w:r w:rsidR="00F020F9">
              <w:t>d</w:t>
            </w:r>
            <w:r w:rsidRPr="00390B09">
              <w:t>ivision to ensure the strategies it leads are accessible for people with disability.</w:t>
            </w:r>
          </w:p>
        </w:tc>
        <w:tc>
          <w:tcPr>
            <w:tcW w:w="2602" w:type="dxa"/>
          </w:tcPr>
          <w:p w14:paraId="641AF522" w14:textId="3DA8A095" w:rsidR="004D7E47" w:rsidRDefault="004D7E47" w:rsidP="007F6FF1">
            <w:r w:rsidRPr="00390B09">
              <w:t xml:space="preserve">Community and Family Services </w:t>
            </w:r>
          </w:p>
        </w:tc>
        <w:tc>
          <w:tcPr>
            <w:tcW w:w="2268" w:type="dxa"/>
          </w:tcPr>
          <w:p w14:paraId="793B114F" w14:textId="092540B6" w:rsidR="004D7E47" w:rsidRDefault="004D7E47" w:rsidP="007F6FF1">
            <w:r w:rsidRPr="00390B09">
              <w:t>Ongoing</w:t>
            </w:r>
          </w:p>
        </w:tc>
        <w:tc>
          <w:tcPr>
            <w:tcW w:w="3442" w:type="dxa"/>
          </w:tcPr>
          <w:p w14:paraId="6A13FC7B" w14:textId="01481735" w:rsidR="004D7E47" w:rsidRDefault="004D7E47" w:rsidP="007F6FF1">
            <w:r w:rsidRPr="00390B09">
              <w:t xml:space="preserve">100 </w:t>
            </w:r>
            <w:r w:rsidR="004A4260">
              <w:t>percent</w:t>
            </w:r>
            <w:r>
              <w:t xml:space="preserve"> </w:t>
            </w:r>
            <w:r w:rsidRPr="00390B09">
              <w:t xml:space="preserve">of major strategies that are developed, have </w:t>
            </w:r>
            <w:r w:rsidR="00122E9D">
              <w:t>easy read</w:t>
            </w:r>
            <w:r w:rsidRPr="00390B09">
              <w:t xml:space="preserve"> documents available on </w:t>
            </w:r>
            <w:r w:rsidR="00F020F9">
              <w:t xml:space="preserve">the </w:t>
            </w:r>
            <w:r w:rsidRPr="00390B09">
              <w:t>DHS website.</w:t>
            </w:r>
          </w:p>
        </w:tc>
      </w:tr>
      <w:tr w:rsidR="004D7E47" w14:paraId="23912DAF" w14:textId="77777777" w:rsidTr="004D7E47">
        <w:trPr>
          <w:cantSplit/>
        </w:trPr>
        <w:tc>
          <w:tcPr>
            <w:tcW w:w="1170" w:type="dxa"/>
          </w:tcPr>
          <w:p w14:paraId="721CF923" w14:textId="24B8AB98" w:rsidR="004D7E47" w:rsidRDefault="004D7E47" w:rsidP="007F6FF1">
            <w:r>
              <w:t>8.13</w:t>
            </w:r>
          </w:p>
        </w:tc>
        <w:tc>
          <w:tcPr>
            <w:tcW w:w="4327" w:type="dxa"/>
          </w:tcPr>
          <w:p w14:paraId="1A79CC07" w14:textId="377DBC16" w:rsidR="004D7E47" w:rsidRPr="00390B09" w:rsidRDefault="004D7E47" w:rsidP="007F6FF1">
            <w:pPr>
              <w:rPr>
                <w:highlight w:val="yellow"/>
              </w:rPr>
            </w:pPr>
            <w:r w:rsidRPr="00390B09">
              <w:t xml:space="preserve">We will develop easy read versions of major strategies led by the Community and Family Services </w:t>
            </w:r>
            <w:r w:rsidR="00F020F9">
              <w:t>d</w:t>
            </w:r>
            <w:r w:rsidRPr="00390B09">
              <w:t>ivision including but not limited to youth, volunteering and LGBTIQA+</w:t>
            </w:r>
          </w:p>
          <w:p w14:paraId="5C8E95A5" w14:textId="77777777" w:rsidR="004D7E47" w:rsidRPr="00390B09" w:rsidRDefault="004D7E47" w:rsidP="007F6FF1"/>
        </w:tc>
        <w:tc>
          <w:tcPr>
            <w:tcW w:w="2602" w:type="dxa"/>
          </w:tcPr>
          <w:p w14:paraId="650FC45D" w14:textId="4D94E71C" w:rsidR="004D7E47" w:rsidRPr="00390B09" w:rsidRDefault="004D7E47" w:rsidP="007F6FF1">
            <w:r w:rsidRPr="00390B09">
              <w:t>Community and Family Services</w:t>
            </w:r>
          </w:p>
        </w:tc>
        <w:tc>
          <w:tcPr>
            <w:tcW w:w="2268" w:type="dxa"/>
          </w:tcPr>
          <w:p w14:paraId="28ED136E" w14:textId="6472EA59" w:rsidR="004D7E47" w:rsidRPr="00390B09" w:rsidRDefault="004D7E47" w:rsidP="007F6FF1">
            <w:r w:rsidRPr="00390B09">
              <w:t>Ongoing</w:t>
            </w:r>
          </w:p>
        </w:tc>
        <w:tc>
          <w:tcPr>
            <w:tcW w:w="3442" w:type="dxa"/>
          </w:tcPr>
          <w:p w14:paraId="2A0F2F2A" w14:textId="66982EF7" w:rsidR="004D7E47" w:rsidRPr="00390B09" w:rsidRDefault="004D7E47" w:rsidP="007F6FF1">
            <w:r w:rsidRPr="00390B09">
              <w:t xml:space="preserve">100 </w:t>
            </w:r>
            <w:r w:rsidR="004A4260">
              <w:t>percent</w:t>
            </w:r>
            <w:r>
              <w:t xml:space="preserve"> </w:t>
            </w:r>
            <w:r w:rsidRPr="00390B09">
              <w:t xml:space="preserve">of major strategies that are developed have </w:t>
            </w:r>
            <w:r w:rsidR="00122E9D">
              <w:t>easy read</w:t>
            </w:r>
            <w:r w:rsidRPr="00390B09">
              <w:t xml:space="preserve"> documents available on </w:t>
            </w:r>
            <w:r w:rsidR="00F020F9">
              <w:t xml:space="preserve">the </w:t>
            </w:r>
            <w:r w:rsidRPr="00390B09">
              <w:t xml:space="preserve">DHS website. </w:t>
            </w:r>
          </w:p>
        </w:tc>
      </w:tr>
      <w:tr w:rsidR="004D7E47" w14:paraId="3447190B" w14:textId="77777777" w:rsidTr="004D7E47">
        <w:trPr>
          <w:cantSplit/>
        </w:trPr>
        <w:tc>
          <w:tcPr>
            <w:tcW w:w="1170" w:type="dxa"/>
          </w:tcPr>
          <w:p w14:paraId="368FBC1A" w14:textId="045E13CD" w:rsidR="004D7E47" w:rsidRDefault="004D7E47" w:rsidP="007F6FF1">
            <w:r>
              <w:t>8.14</w:t>
            </w:r>
          </w:p>
        </w:tc>
        <w:tc>
          <w:tcPr>
            <w:tcW w:w="4327" w:type="dxa"/>
          </w:tcPr>
          <w:p w14:paraId="433006F0" w14:textId="67E8023D" w:rsidR="004D7E47" w:rsidRPr="00390B09" w:rsidRDefault="004D7E47" w:rsidP="007F6FF1">
            <w:r w:rsidRPr="00390B09">
              <w:rPr>
                <w:rFonts w:eastAsia="Times New Roman"/>
              </w:rPr>
              <w:t>We will explore options to develop a face</w:t>
            </w:r>
            <w:r>
              <w:rPr>
                <w:rFonts w:eastAsia="Times New Roman"/>
              </w:rPr>
              <w:t>-</w:t>
            </w:r>
            <w:r w:rsidRPr="00390B09">
              <w:rPr>
                <w:rFonts w:eastAsia="Times New Roman"/>
              </w:rPr>
              <w:t>to</w:t>
            </w:r>
            <w:r>
              <w:rPr>
                <w:rFonts w:eastAsia="Times New Roman"/>
              </w:rPr>
              <w:t>-</w:t>
            </w:r>
            <w:r w:rsidRPr="00390B09">
              <w:rPr>
                <w:rFonts w:eastAsia="Times New Roman"/>
              </w:rPr>
              <w:t>face workshop based on Parent Easy Guides that are relevant to parents and carers of children living with disability.</w:t>
            </w:r>
            <w:r>
              <w:rPr>
                <w:rFonts w:eastAsia="Times New Roman"/>
              </w:rPr>
              <w:t xml:space="preserve"> </w:t>
            </w:r>
          </w:p>
        </w:tc>
        <w:tc>
          <w:tcPr>
            <w:tcW w:w="2602" w:type="dxa"/>
          </w:tcPr>
          <w:p w14:paraId="248708B2" w14:textId="398598D8" w:rsidR="004D7E47" w:rsidRPr="00390B09" w:rsidRDefault="004D7E47" w:rsidP="007F6FF1">
            <w:r w:rsidRPr="00390B09">
              <w:t>Community and Family Services</w:t>
            </w:r>
          </w:p>
        </w:tc>
        <w:tc>
          <w:tcPr>
            <w:tcW w:w="2268" w:type="dxa"/>
          </w:tcPr>
          <w:p w14:paraId="6B655088" w14:textId="55455A21" w:rsidR="004D7E47" w:rsidRPr="00390B09" w:rsidRDefault="004D7E47" w:rsidP="007F6FF1">
            <w:r w:rsidRPr="00390B09">
              <w:t>June 2021</w:t>
            </w:r>
          </w:p>
        </w:tc>
        <w:tc>
          <w:tcPr>
            <w:tcW w:w="3442" w:type="dxa"/>
          </w:tcPr>
          <w:p w14:paraId="609F7EA6" w14:textId="178EBEA0" w:rsidR="004D7E47" w:rsidRPr="00390B09" w:rsidRDefault="004D7E47" w:rsidP="007F6FF1">
            <w:r w:rsidRPr="00390B09">
              <w:t>Face</w:t>
            </w:r>
            <w:r>
              <w:t>-</w:t>
            </w:r>
            <w:r w:rsidRPr="00390B09">
              <w:t>to</w:t>
            </w:r>
            <w:r>
              <w:t>-</w:t>
            </w:r>
            <w:r w:rsidRPr="00390B09">
              <w:t>face workshops drafted and piloted with a relevant group of parents/carers living with disability.</w:t>
            </w:r>
          </w:p>
          <w:p w14:paraId="28CF5044" w14:textId="61CA9E43" w:rsidR="004D7E47" w:rsidRPr="00390B09" w:rsidRDefault="004D7E47" w:rsidP="007F6FF1">
            <w:r w:rsidRPr="00390B09">
              <w:t>Workshop implementation plan developed and approved following pilot.</w:t>
            </w:r>
            <w:r>
              <w:t xml:space="preserve"> </w:t>
            </w:r>
          </w:p>
        </w:tc>
      </w:tr>
    </w:tbl>
    <w:p w14:paraId="59A34695" w14:textId="5A33CD3A" w:rsidR="004D7E47" w:rsidRDefault="004D7E47" w:rsidP="007F6FF1"/>
    <w:p w14:paraId="3EE54EA0" w14:textId="77777777" w:rsidR="007D67A1" w:rsidRDefault="00DE3A93" w:rsidP="007F6FF1">
      <w:hyperlink w:anchor="_DHS_actions" w:history="1">
        <w:r w:rsidR="007D67A1" w:rsidRPr="003B5C78">
          <w:rPr>
            <w:rStyle w:val="Hyperlink"/>
          </w:rPr>
          <w:t>Back to top</w:t>
        </w:r>
      </w:hyperlink>
    </w:p>
    <w:p w14:paraId="63619473" w14:textId="182C424D" w:rsidR="004D7E47" w:rsidRDefault="004D7E47" w:rsidP="00D2626A">
      <w:pPr>
        <w:pStyle w:val="Heading4"/>
      </w:pPr>
      <w:r w:rsidRPr="00390B09">
        <w:t>Priority 9: Access to services</w:t>
      </w:r>
    </w:p>
    <w:tbl>
      <w:tblPr>
        <w:tblStyle w:val="TableGrid"/>
        <w:tblW w:w="4950" w:type="pct"/>
        <w:tblLook w:val="04A0" w:firstRow="1" w:lastRow="0" w:firstColumn="1" w:lastColumn="0" w:noHBand="0" w:noVBand="1"/>
      </w:tblPr>
      <w:tblGrid>
        <w:gridCol w:w="846"/>
        <w:gridCol w:w="2839"/>
        <w:gridCol w:w="2159"/>
        <w:gridCol w:w="1639"/>
        <w:gridCol w:w="2609"/>
      </w:tblGrid>
      <w:tr w:rsidR="00DD6558" w:rsidRPr="00120A28" w14:paraId="071D74C5" w14:textId="77777777" w:rsidTr="00D2626A">
        <w:trPr>
          <w:cantSplit/>
          <w:tblHeader/>
        </w:trPr>
        <w:tc>
          <w:tcPr>
            <w:tcW w:w="846" w:type="dxa"/>
          </w:tcPr>
          <w:p w14:paraId="2876E47F" w14:textId="77777777" w:rsidR="00DD6558" w:rsidRPr="00120A28" w:rsidRDefault="00DD6558" w:rsidP="00844B09">
            <w:pPr>
              <w:pStyle w:val="Table-Header"/>
            </w:pPr>
            <w:r w:rsidRPr="00120A28">
              <w:t xml:space="preserve">No. </w:t>
            </w:r>
          </w:p>
        </w:tc>
        <w:tc>
          <w:tcPr>
            <w:tcW w:w="2839" w:type="dxa"/>
          </w:tcPr>
          <w:p w14:paraId="74289D9F" w14:textId="77777777" w:rsidR="00DD6558" w:rsidRPr="00120A28" w:rsidRDefault="00DD6558" w:rsidP="00844B09">
            <w:pPr>
              <w:pStyle w:val="Table-Header"/>
            </w:pPr>
            <w:r w:rsidRPr="00120A28">
              <w:t>Action</w:t>
            </w:r>
          </w:p>
        </w:tc>
        <w:tc>
          <w:tcPr>
            <w:tcW w:w="2159" w:type="dxa"/>
          </w:tcPr>
          <w:p w14:paraId="5533D386" w14:textId="77777777" w:rsidR="00DD6558" w:rsidRPr="00120A28" w:rsidRDefault="00DD6558" w:rsidP="00844B09">
            <w:pPr>
              <w:pStyle w:val="Table-Header"/>
            </w:pPr>
            <w:r w:rsidRPr="00120A28">
              <w:t>Lead Directorate</w:t>
            </w:r>
          </w:p>
        </w:tc>
        <w:tc>
          <w:tcPr>
            <w:tcW w:w="1639" w:type="dxa"/>
          </w:tcPr>
          <w:p w14:paraId="404691C6" w14:textId="77777777" w:rsidR="00DD6558" w:rsidRPr="00120A28" w:rsidRDefault="00DD6558" w:rsidP="00844B09">
            <w:pPr>
              <w:pStyle w:val="Table-Header"/>
            </w:pPr>
            <w:r w:rsidRPr="00120A28">
              <w:t>Timeframe</w:t>
            </w:r>
          </w:p>
        </w:tc>
        <w:tc>
          <w:tcPr>
            <w:tcW w:w="2609" w:type="dxa"/>
          </w:tcPr>
          <w:p w14:paraId="6E532774" w14:textId="77777777" w:rsidR="00DD6558" w:rsidRPr="00120A28" w:rsidRDefault="00DD6558" w:rsidP="00844B09">
            <w:pPr>
              <w:pStyle w:val="Table-Header"/>
            </w:pPr>
            <w:r w:rsidRPr="00120A28">
              <w:t>Target</w:t>
            </w:r>
          </w:p>
        </w:tc>
      </w:tr>
      <w:tr w:rsidR="00DD6558" w14:paraId="20FCFEE0" w14:textId="77777777" w:rsidTr="00D2626A">
        <w:trPr>
          <w:cantSplit/>
        </w:trPr>
        <w:tc>
          <w:tcPr>
            <w:tcW w:w="846" w:type="dxa"/>
          </w:tcPr>
          <w:p w14:paraId="10156523" w14:textId="59144DF6" w:rsidR="00DD6558" w:rsidRDefault="00DD6558" w:rsidP="007F6FF1">
            <w:r>
              <w:t>9.1</w:t>
            </w:r>
          </w:p>
        </w:tc>
        <w:tc>
          <w:tcPr>
            <w:tcW w:w="2839" w:type="dxa"/>
          </w:tcPr>
          <w:p w14:paraId="1FD5B2B4" w14:textId="318D1C93" w:rsidR="00DD6558" w:rsidRDefault="00DD6558" w:rsidP="007F6FF1">
            <w:r w:rsidRPr="00390B09">
              <w:t xml:space="preserve">We will lead </w:t>
            </w:r>
            <w:r w:rsidRPr="00390B09">
              <w:rPr>
                <w:b/>
                <w:bCs/>
              </w:rPr>
              <w:t>action</w:t>
            </w:r>
            <w:r w:rsidRPr="00390B09">
              <w:t xml:space="preserve"> </w:t>
            </w:r>
            <w:r w:rsidRPr="00390B09">
              <w:rPr>
                <w:b/>
                <w:bCs/>
              </w:rPr>
              <w:t>23 of Inclusive SA</w:t>
            </w:r>
            <w:r w:rsidRPr="00390B09">
              <w:t xml:space="preserve"> by continuing to work collaboratively with the Commonwealth Government and the National Disability Insurance Agency to develop strategies to support a diverse disability workforce, including within regional South Australia.</w:t>
            </w:r>
          </w:p>
        </w:tc>
        <w:tc>
          <w:tcPr>
            <w:tcW w:w="2159" w:type="dxa"/>
          </w:tcPr>
          <w:p w14:paraId="643565B3" w14:textId="0D8E04C7" w:rsidR="00DD6558" w:rsidRDefault="00DD6558" w:rsidP="007F6FF1">
            <w:r w:rsidRPr="00390B09">
              <w:t xml:space="preserve">Disability Access and Inclusion </w:t>
            </w:r>
          </w:p>
        </w:tc>
        <w:tc>
          <w:tcPr>
            <w:tcW w:w="1639" w:type="dxa"/>
          </w:tcPr>
          <w:p w14:paraId="6F8B7AB6" w14:textId="263A0DD4" w:rsidR="00DD6558" w:rsidRDefault="00DD6558" w:rsidP="007F6FF1">
            <w:r w:rsidRPr="00390B09">
              <w:t>June 2021</w:t>
            </w:r>
            <w:r>
              <w:t xml:space="preserve"> and </w:t>
            </w:r>
            <w:r w:rsidRPr="00390B09">
              <w:t>June 2022</w:t>
            </w:r>
          </w:p>
        </w:tc>
        <w:tc>
          <w:tcPr>
            <w:tcW w:w="2609" w:type="dxa"/>
          </w:tcPr>
          <w:p w14:paraId="5E87A197" w14:textId="77777777" w:rsidR="00DD6558" w:rsidRPr="00390B09" w:rsidRDefault="00DD6558" w:rsidP="007F6FF1">
            <w:r w:rsidRPr="00390B09">
              <w:t xml:space="preserve">Strategies to increase access to diverse disability support workers in metropolitan and regional South Australia developed. </w:t>
            </w:r>
          </w:p>
          <w:p w14:paraId="0515662A" w14:textId="144EFBF6" w:rsidR="00DD6558" w:rsidRDefault="00DD6558" w:rsidP="007F6FF1">
            <w:r w:rsidRPr="00390B09">
              <w:t>Identified strategies implemented.</w:t>
            </w:r>
          </w:p>
        </w:tc>
      </w:tr>
      <w:tr w:rsidR="00DD6558" w14:paraId="37F1A60D" w14:textId="77777777" w:rsidTr="00D2626A">
        <w:trPr>
          <w:cantSplit/>
        </w:trPr>
        <w:tc>
          <w:tcPr>
            <w:tcW w:w="846" w:type="dxa"/>
          </w:tcPr>
          <w:p w14:paraId="24CA91E5" w14:textId="195ED9D4" w:rsidR="00DD6558" w:rsidRDefault="00DD6558" w:rsidP="007F6FF1">
            <w:r>
              <w:lastRenderedPageBreak/>
              <w:t>9.2</w:t>
            </w:r>
          </w:p>
        </w:tc>
        <w:tc>
          <w:tcPr>
            <w:tcW w:w="2839" w:type="dxa"/>
          </w:tcPr>
          <w:p w14:paraId="4EDC755C" w14:textId="49DA0F81" w:rsidR="00DD6558" w:rsidRDefault="00DD6558" w:rsidP="007F6FF1">
            <w:r w:rsidRPr="00390B09">
              <w:t xml:space="preserve">We will lead </w:t>
            </w:r>
            <w:r w:rsidRPr="00390B09">
              <w:rPr>
                <w:b/>
                <w:bCs/>
              </w:rPr>
              <w:t xml:space="preserve">action 25 of Inclusive SA </w:t>
            </w:r>
            <w:r w:rsidRPr="00390B09">
              <w:t xml:space="preserve">by leading the development and promotion of a toolkit for signage, wayfinding and multimedia devices for State authorities to support deaf, hard of hearing, blind, vision or hearing-impaired persons. </w:t>
            </w:r>
          </w:p>
        </w:tc>
        <w:tc>
          <w:tcPr>
            <w:tcW w:w="2159" w:type="dxa"/>
          </w:tcPr>
          <w:p w14:paraId="7A8F2A07" w14:textId="4D91B57C" w:rsidR="00DD6558" w:rsidRDefault="00DD6558" w:rsidP="007F6FF1">
            <w:r w:rsidRPr="00390B09">
              <w:t>Disability Access and Inclusion</w:t>
            </w:r>
          </w:p>
        </w:tc>
        <w:tc>
          <w:tcPr>
            <w:tcW w:w="1639" w:type="dxa"/>
          </w:tcPr>
          <w:p w14:paraId="614C460D" w14:textId="11E6E8F7" w:rsidR="00DD6558" w:rsidRDefault="00DD6558" w:rsidP="007F6FF1">
            <w:r w:rsidRPr="00390B09">
              <w:t>December 2020</w:t>
            </w:r>
            <w:r>
              <w:t xml:space="preserve"> and </w:t>
            </w:r>
            <w:r w:rsidRPr="00390B09">
              <w:t>June 2021</w:t>
            </w:r>
          </w:p>
        </w:tc>
        <w:tc>
          <w:tcPr>
            <w:tcW w:w="2609" w:type="dxa"/>
          </w:tcPr>
          <w:p w14:paraId="52A6D811" w14:textId="77777777" w:rsidR="00DD6558" w:rsidRPr="00390B09" w:rsidRDefault="00DD6558" w:rsidP="007F6FF1">
            <w:r w:rsidRPr="00390B09">
              <w:t>Phase 1 of the toolkit is published and available in accessible formats.</w:t>
            </w:r>
          </w:p>
          <w:p w14:paraId="651A2B07" w14:textId="65BBD7F2" w:rsidR="00DD6558" w:rsidRDefault="00DD6558" w:rsidP="007F6FF1">
            <w:r w:rsidRPr="00390B09">
              <w:t>Phase 2 will be further refined in consultation with stakeholders.</w:t>
            </w:r>
          </w:p>
        </w:tc>
      </w:tr>
      <w:tr w:rsidR="00DD6558" w14:paraId="1561A845" w14:textId="77777777" w:rsidTr="00D2626A">
        <w:trPr>
          <w:cantSplit/>
        </w:trPr>
        <w:tc>
          <w:tcPr>
            <w:tcW w:w="846" w:type="dxa"/>
          </w:tcPr>
          <w:p w14:paraId="1F4457BC" w14:textId="56B34CE2" w:rsidR="00DD6558" w:rsidRDefault="00DD6558" w:rsidP="007F6FF1">
            <w:r>
              <w:t>9.3</w:t>
            </w:r>
          </w:p>
        </w:tc>
        <w:tc>
          <w:tcPr>
            <w:tcW w:w="2839" w:type="dxa"/>
          </w:tcPr>
          <w:p w14:paraId="1BE69C7E" w14:textId="23F0EF79" w:rsidR="00DD6558" w:rsidRDefault="00DD6558" w:rsidP="007F6FF1">
            <w:r w:rsidRPr="00390B09">
              <w:t>We will work with the Interpreting and Translating team to run an awareness campaign to promote interpreting and translating services to disability service providers and CALD people with disability.</w:t>
            </w:r>
          </w:p>
        </w:tc>
        <w:tc>
          <w:tcPr>
            <w:tcW w:w="2159" w:type="dxa"/>
          </w:tcPr>
          <w:p w14:paraId="790E5567" w14:textId="6D1FAA9A" w:rsidR="00DD6558" w:rsidRDefault="00DD6558" w:rsidP="007F6FF1">
            <w:r w:rsidRPr="00390B09">
              <w:t xml:space="preserve">Concessions and Support Services </w:t>
            </w:r>
          </w:p>
        </w:tc>
        <w:tc>
          <w:tcPr>
            <w:tcW w:w="1639" w:type="dxa"/>
          </w:tcPr>
          <w:p w14:paraId="35EF4322" w14:textId="72E0D83E" w:rsidR="00DD6558" w:rsidRDefault="00DD6558" w:rsidP="007F6FF1">
            <w:r w:rsidRPr="00390B09">
              <w:t>June 2021</w:t>
            </w:r>
          </w:p>
        </w:tc>
        <w:tc>
          <w:tcPr>
            <w:tcW w:w="2609" w:type="dxa"/>
          </w:tcPr>
          <w:p w14:paraId="36EF4CCA" w14:textId="36D4BDEE" w:rsidR="00DD6558" w:rsidRDefault="00DD6558" w:rsidP="007F6FF1">
            <w:r w:rsidRPr="00390B09">
              <w:t>Disability awareness campaign to be completed.</w:t>
            </w:r>
          </w:p>
        </w:tc>
      </w:tr>
      <w:tr w:rsidR="00DD6558" w14:paraId="5875F052" w14:textId="77777777" w:rsidTr="00D2626A">
        <w:trPr>
          <w:cantSplit/>
        </w:trPr>
        <w:tc>
          <w:tcPr>
            <w:tcW w:w="846" w:type="dxa"/>
          </w:tcPr>
          <w:p w14:paraId="3797B9BC" w14:textId="11C611CE" w:rsidR="00DD6558" w:rsidRDefault="00DD6558" w:rsidP="007F6FF1">
            <w:r>
              <w:t>9.4</w:t>
            </w:r>
          </w:p>
        </w:tc>
        <w:tc>
          <w:tcPr>
            <w:tcW w:w="2839" w:type="dxa"/>
          </w:tcPr>
          <w:p w14:paraId="52BD3A89" w14:textId="0BACDE63" w:rsidR="00DD6558" w:rsidRDefault="00DD6558" w:rsidP="007F6FF1">
            <w:r w:rsidRPr="00390B09">
              <w:t>We will explore tailored concessions for people living with disability who live in shared supported accommodation and have high water use needs.</w:t>
            </w:r>
          </w:p>
        </w:tc>
        <w:tc>
          <w:tcPr>
            <w:tcW w:w="2159" w:type="dxa"/>
          </w:tcPr>
          <w:p w14:paraId="407B806C" w14:textId="01DC3510" w:rsidR="00DD6558" w:rsidRDefault="00DD6558" w:rsidP="007F6FF1">
            <w:r w:rsidRPr="00390B09">
              <w:t xml:space="preserve">Concessions </w:t>
            </w:r>
            <w:r>
              <w:t>and Support Services</w:t>
            </w:r>
          </w:p>
        </w:tc>
        <w:tc>
          <w:tcPr>
            <w:tcW w:w="1639" w:type="dxa"/>
          </w:tcPr>
          <w:p w14:paraId="5CFA833A" w14:textId="77EC6A05" w:rsidR="00DD6558" w:rsidRDefault="00DD6558" w:rsidP="007F6FF1">
            <w:r w:rsidRPr="00390B09">
              <w:t>December 2022</w:t>
            </w:r>
          </w:p>
        </w:tc>
        <w:tc>
          <w:tcPr>
            <w:tcW w:w="2609" w:type="dxa"/>
          </w:tcPr>
          <w:p w14:paraId="118939AA" w14:textId="43AC3F66" w:rsidR="00DD6558" w:rsidRDefault="00DD6558" w:rsidP="007F6FF1">
            <w:r w:rsidRPr="00390B09">
              <w:t>Approval of report and recommendations.</w:t>
            </w:r>
          </w:p>
        </w:tc>
      </w:tr>
      <w:tr w:rsidR="00DD6558" w14:paraId="0B35E0D8" w14:textId="77777777" w:rsidTr="00D2626A">
        <w:trPr>
          <w:cantSplit/>
        </w:trPr>
        <w:tc>
          <w:tcPr>
            <w:tcW w:w="846" w:type="dxa"/>
          </w:tcPr>
          <w:p w14:paraId="538FFD24" w14:textId="1F252428" w:rsidR="00DD6558" w:rsidRDefault="00DD6558" w:rsidP="007F6FF1">
            <w:r>
              <w:lastRenderedPageBreak/>
              <w:t>9.5</w:t>
            </w:r>
          </w:p>
        </w:tc>
        <w:tc>
          <w:tcPr>
            <w:tcW w:w="2839" w:type="dxa"/>
          </w:tcPr>
          <w:p w14:paraId="3AF971BB" w14:textId="48745D9E" w:rsidR="00DD6558" w:rsidRPr="00390B09" w:rsidRDefault="00DD6558" w:rsidP="007F6FF1">
            <w:r w:rsidRPr="00390B09">
              <w:t xml:space="preserve">We will implement relevant actions in the </w:t>
            </w:r>
            <w:r w:rsidRPr="00390B09">
              <w:rPr>
                <w:i/>
                <w:iCs/>
              </w:rPr>
              <w:t>Young People Connected, Communities Protected: South Australia’s Youth Justice State Plan 2020</w:t>
            </w:r>
            <w:r>
              <w:rPr>
                <w:i/>
                <w:iCs/>
              </w:rPr>
              <w:t>–</w:t>
            </w:r>
            <w:r w:rsidRPr="00390B09">
              <w:rPr>
                <w:i/>
                <w:iCs/>
              </w:rPr>
              <w:t>23</w:t>
            </w:r>
            <w:r w:rsidRPr="00390B09">
              <w:t xml:space="preserve"> to ensure children and young people in the youth justice system who have a disability can access the services they require including:</w:t>
            </w:r>
          </w:p>
          <w:p w14:paraId="0E8CD34D" w14:textId="4AA60D63" w:rsidR="00DD6558" w:rsidRPr="00390B09" w:rsidRDefault="00BD18A1" w:rsidP="007F6FF1">
            <w:pPr>
              <w:pStyle w:val="ListParagraph"/>
              <w:numPr>
                <w:ilvl w:val="0"/>
                <w:numId w:val="21"/>
              </w:numPr>
            </w:pPr>
            <w:r>
              <w:t>a</w:t>
            </w:r>
            <w:r w:rsidR="00DD6558" w:rsidRPr="00390B09">
              <w:t>ccessible culturally appropriate supports</w:t>
            </w:r>
          </w:p>
          <w:p w14:paraId="4FBD9499" w14:textId="77727567" w:rsidR="00DD6558" w:rsidRDefault="00BD18A1" w:rsidP="007F6FF1">
            <w:pPr>
              <w:pStyle w:val="ListParagraph"/>
              <w:numPr>
                <w:ilvl w:val="0"/>
                <w:numId w:val="21"/>
              </w:numPr>
            </w:pPr>
            <w:r>
              <w:t>c</w:t>
            </w:r>
            <w:r w:rsidR="00DD6558" w:rsidRPr="00390B09">
              <w:t>hild friendly feedback and complaint mechanisms that are accessible and accountable to children and young people with disability</w:t>
            </w:r>
            <w:r w:rsidR="00DD6558">
              <w:t>.</w:t>
            </w:r>
          </w:p>
          <w:p w14:paraId="55EF3DDF" w14:textId="278B622A" w:rsidR="00DD6558" w:rsidRDefault="00BD18A1" w:rsidP="007F6FF1">
            <w:pPr>
              <w:pStyle w:val="ListParagraph"/>
              <w:numPr>
                <w:ilvl w:val="0"/>
                <w:numId w:val="21"/>
              </w:numPr>
            </w:pPr>
            <w:r>
              <w:t>s</w:t>
            </w:r>
            <w:r w:rsidR="00DD6558" w:rsidRPr="00390B09">
              <w:t>upport children and young people to maintain connection and engagement with community, to ensure their transition post custody is physically, socially and culturally safe and appropriately tailored to any disability related needs.</w:t>
            </w:r>
          </w:p>
        </w:tc>
        <w:tc>
          <w:tcPr>
            <w:tcW w:w="2159" w:type="dxa"/>
          </w:tcPr>
          <w:p w14:paraId="5625799D" w14:textId="45C00687" w:rsidR="00DD6558" w:rsidRDefault="00DD6558" w:rsidP="007F6FF1">
            <w:r w:rsidRPr="00390B09">
              <w:t xml:space="preserve">Youth Justice </w:t>
            </w:r>
            <w:r>
              <w:t>S</w:t>
            </w:r>
            <w:r w:rsidRPr="00390B09">
              <w:t xml:space="preserve">ervices </w:t>
            </w:r>
          </w:p>
        </w:tc>
        <w:tc>
          <w:tcPr>
            <w:tcW w:w="1639" w:type="dxa"/>
          </w:tcPr>
          <w:p w14:paraId="76B7618F" w14:textId="72C73CE3" w:rsidR="00DD6558" w:rsidRDefault="00DD6558" w:rsidP="007F6FF1">
            <w:r w:rsidRPr="00390B09">
              <w:t>June 2022</w:t>
            </w:r>
          </w:p>
        </w:tc>
        <w:tc>
          <w:tcPr>
            <w:tcW w:w="2609" w:type="dxa"/>
          </w:tcPr>
          <w:p w14:paraId="6077B41E" w14:textId="77777777" w:rsidR="00DD6558" w:rsidRPr="00390B09" w:rsidRDefault="00DD6558" w:rsidP="007F6FF1">
            <w:r w:rsidRPr="00390B09">
              <w:t>Enhanced staff training implemented</w:t>
            </w:r>
          </w:p>
          <w:p w14:paraId="7426AFDF" w14:textId="6B45D337" w:rsidR="00DD6558" w:rsidRDefault="00DD6558" w:rsidP="007F6FF1">
            <w:r w:rsidRPr="00390B09">
              <w:t>Increased accessibility of education at Kurlana Tapa Youth Justice Centre</w:t>
            </w:r>
          </w:p>
        </w:tc>
      </w:tr>
      <w:tr w:rsidR="00DD6558" w14:paraId="606E0AEF" w14:textId="77777777" w:rsidTr="00D2626A">
        <w:trPr>
          <w:cantSplit/>
        </w:trPr>
        <w:tc>
          <w:tcPr>
            <w:tcW w:w="846" w:type="dxa"/>
          </w:tcPr>
          <w:p w14:paraId="59D891FA" w14:textId="21B3C0D2" w:rsidR="00DD6558" w:rsidRDefault="00DD6558" w:rsidP="007F6FF1">
            <w:r>
              <w:t>9.6</w:t>
            </w:r>
          </w:p>
        </w:tc>
        <w:tc>
          <w:tcPr>
            <w:tcW w:w="2839" w:type="dxa"/>
          </w:tcPr>
          <w:p w14:paraId="6464F737" w14:textId="14FF9C39" w:rsidR="00DD6558" w:rsidRDefault="00DD6558" w:rsidP="007F6FF1">
            <w:r w:rsidRPr="00390B09">
              <w:t xml:space="preserve">We will facilitate children and young people with disability in custody to access services through the NDIS by working with Justice Liaison Officers in the National Disability Insurance Agency (NDIA). </w:t>
            </w:r>
          </w:p>
        </w:tc>
        <w:tc>
          <w:tcPr>
            <w:tcW w:w="2159" w:type="dxa"/>
          </w:tcPr>
          <w:p w14:paraId="106CD931" w14:textId="2D18E17E" w:rsidR="00DD6558" w:rsidRDefault="00DD6558" w:rsidP="007F6FF1">
            <w:r w:rsidRPr="00390B09">
              <w:t xml:space="preserve">Youth Justice Services </w:t>
            </w:r>
          </w:p>
        </w:tc>
        <w:tc>
          <w:tcPr>
            <w:tcW w:w="1639" w:type="dxa"/>
          </w:tcPr>
          <w:p w14:paraId="3AD4E8F8" w14:textId="2E8F6DC0" w:rsidR="00DD6558" w:rsidRDefault="00DD6558" w:rsidP="007F6FF1">
            <w:r w:rsidRPr="00390B09">
              <w:t>June 2021</w:t>
            </w:r>
          </w:p>
        </w:tc>
        <w:tc>
          <w:tcPr>
            <w:tcW w:w="2609" w:type="dxa"/>
          </w:tcPr>
          <w:p w14:paraId="14FA4677" w14:textId="4F722375" w:rsidR="00DD6558" w:rsidRDefault="00DD6558" w:rsidP="007F6FF1">
            <w:r w:rsidRPr="00390B09">
              <w:t xml:space="preserve">Agreed pathways and processes with the NDIA developed </w:t>
            </w:r>
          </w:p>
        </w:tc>
      </w:tr>
      <w:tr w:rsidR="00DD6558" w14:paraId="61534447" w14:textId="77777777" w:rsidTr="00D2626A">
        <w:trPr>
          <w:cantSplit/>
        </w:trPr>
        <w:tc>
          <w:tcPr>
            <w:tcW w:w="846" w:type="dxa"/>
          </w:tcPr>
          <w:p w14:paraId="2A40E992" w14:textId="47F16DF0" w:rsidR="00DD6558" w:rsidRDefault="00DD6558" w:rsidP="007F6FF1">
            <w:r>
              <w:lastRenderedPageBreak/>
              <w:t>9.7</w:t>
            </w:r>
          </w:p>
        </w:tc>
        <w:tc>
          <w:tcPr>
            <w:tcW w:w="2839" w:type="dxa"/>
          </w:tcPr>
          <w:p w14:paraId="2529DD55" w14:textId="77777777" w:rsidR="00DD6558" w:rsidRPr="00390B09" w:rsidRDefault="00DD6558" w:rsidP="007F6FF1">
            <w:r w:rsidRPr="00390B09">
              <w:t>We will implement improvements identified in the Youth Justice Assessment and Intervention Services Disability Screening project, such as:</w:t>
            </w:r>
          </w:p>
          <w:p w14:paraId="521CBD2D" w14:textId="0A7484DB" w:rsidR="00DD6558" w:rsidRPr="00390B09" w:rsidRDefault="00DD6558" w:rsidP="007F6FF1">
            <w:pPr>
              <w:pStyle w:val="ListParagraph"/>
              <w:numPr>
                <w:ilvl w:val="0"/>
                <w:numId w:val="20"/>
              </w:numPr>
            </w:pPr>
            <w:r w:rsidRPr="00390B09">
              <w:t>screening assessment for disability related needs for all children and young people engaged in Youth Justice Services, including working together with relevant sectors as early as possible to actively promote children’s rights and the engagement of parents, carers, families and communities</w:t>
            </w:r>
          </w:p>
          <w:p w14:paraId="0CEE301C" w14:textId="3319731E" w:rsidR="00DD6558" w:rsidRDefault="00DD6558" w:rsidP="007F6FF1">
            <w:pPr>
              <w:pStyle w:val="ListParagraph"/>
              <w:numPr>
                <w:ilvl w:val="0"/>
                <w:numId w:val="20"/>
              </w:numPr>
            </w:pPr>
            <w:r w:rsidRPr="00390B09">
              <w:t>improved training regarding awareness of neuro-developmental disability, understanding the rights of children and young people living with disability; and identifying and understanding how disability-related needs impact a child or young person’s behaviour or attention span</w:t>
            </w:r>
          </w:p>
          <w:p w14:paraId="174D51A5" w14:textId="28B85473" w:rsidR="00DD6558" w:rsidRDefault="00DD6558" w:rsidP="007F6FF1">
            <w:pPr>
              <w:pStyle w:val="ListParagraph"/>
              <w:numPr>
                <w:ilvl w:val="0"/>
                <w:numId w:val="20"/>
              </w:numPr>
            </w:pPr>
            <w:r w:rsidRPr="00390B09">
              <w:t>embedding disability informed policies and procedures across Youth Justice Services</w:t>
            </w:r>
            <w:r>
              <w:t>.</w:t>
            </w:r>
            <w:r w:rsidRPr="00390B09">
              <w:t xml:space="preserve"> </w:t>
            </w:r>
          </w:p>
        </w:tc>
        <w:tc>
          <w:tcPr>
            <w:tcW w:w="2159" w:type="dxa"/>
          </w:tcPr>
          <w:p w14:paraId="0C41E4FC" w14:textId="13C0ECB9" w:rsidR="00DD6558" w:rsidRDefault="00DD6558" w:rsidP="007F6FF1">
            <w:r w:rsidRPr="00390B09">
              <w:t>Youth Justice Services</w:t>
            </w:r>
          </w:p>
        </w:tc>
        <w:tc>
          <w:tcPr>
            <w:tcW w:w="1639" w:type="dxa"/>
          </w:tcPr>
          <w:p w14:paraId="56FA5A4F" w14:textId="6B4626CF" w:rsidR="00DD6558" w:rsidRDefault="00DD6558" w:rsidP="007F6FF1">
            <w:r w:rsidRPr="00390B09">
              <w:t xml:space="preserve">December 2021 </w:t>
            </w:r>
          </w:p>
        </w:tc>
        <w:tc>
          <w:tcPr>
            <w:tcW w:w="2609" w:type="dxa"/>
          </w:tcPr>
          <w:p w14:paraId="5D675C78" w14:textId="7D4BB67A" w:rsidR="00DD6558" w:rsidRDefault="00DD6558" w:rsidP="007F6FF1">
            <w:r w:rsidRPr="00390B09">
              <w:t>Improvements implemented, including improved disability needs assessment.</w:t>
            </w:r>
          </w:p>
        </w:tc>
      </w:tr>
      <w:tr w:rsidR="00DD6558" w14:paraId="3E3C98E9" w14:textId="77777777" w:rsidTr="00D2626A">
        <w:trPr>
          <w:cantSplit/>
        </w:trPr>
        <w:tc>
          <w:tcPr>
            <w:tcW w:w="846" w:type="dxa"/>
          </w:tcPr>
          <w:p w14:paraId="09DE21F5" w14:textId="0AC87501" w:rsidR="00DD6558" w:rsidRDefault="00DD6558" w:rsidP="007F6FF1">
            <w:r>
              <w:lastRenderedPageBreak/>
              <w:t>9.8</w:t>
            </w:r>
          </w:p>
        </w:tc>
        <w:tc>
          <w:tcPr>
            <w:tcW w:w="2839" w:type="dxa"/>
          </w:tcPr>
          <w:p w14:paraId="29C97798" w14:textId="2CE4079D" w:rsidR="00DD6558" w:rsidRDefault="00DD6558" w:rsidP="007F6FF1">
            <w:r w:rsidRPr="00390B09">
              <w:rPr>
                <w:rFonts w:eastAsia="Arial"/>
              </w:rPr>
              <w:t>We will explore the feasibility of providing a wheelchair</w:t>
            </w:r>
            <w:r>
              <w:rPr>
                <w:rFonts w:eastAsia="Arial"/>
              </w:rPr>
              <w:t>-a</w:t>
            </w:r>
            <w:r w:rsidRPr="00390B09">
              <w:rPr>
                <w:rFonts w:eastAsia="Arial"/>
              </w:rPr>
              <w:t xml:space="preserve">ccessible </w:t>
            </w:r>
            <w:r w:rsidR="00B50606">
              <w:rPr>
                <w:rFonts w:eastAsia="Arial"/>
              </w:rPr>
              <w:t>f</w:t>
            </w:r>
            <w:r w:rsidRPr="00390B09">
              <w:rPr>
                <w:rFonts w:eastAsia="Arial"/>
              </w:rPr>
              <w:t xml:space="preserve">leet </w:t>
            </w:r>
            <w:r w:rsidR="00B50606">
              <w:rPr>
                <w:rFonts w:eastAsia="Arial"/>
              </w:rPr>
              <w:t>v</w:t>
            </w:r>
            <w:r w:rsidRPr="00390B09">
              <w:rPr>
                <w:rFonts w:eastAsia="Arial"/>
              </w:rPr>
              <w:t>ehicle at Riverside for use by employees.</w:t>
            </w:r>
          </w:p>
        </w:tc>
        <w:tc>
          <w:tcPr>
            <w:tcW w:w="2159" w:type="dxa"/>
          </w:tcPr>
          <w:p w14:paraId="30FDC68C" w14:textId="49470218" w:rsidR="00DD6558" w:rsidRDefault="00DD6558" w:rsidP="007F6FF1">
            <w:r>
              <w:rPr>
                <w:rFonts w:eastAsia="Arial"/>
              </w:rPr>
              <w:t>Infrastructure</w:t>
            </w:r>
          </w:p>
        </w:tc>
        <w:tc>
          <w:tcPr>
            <w:tcW w:w="1639" w:type="dxa"/>
          </w:tcPr>
          <w:p w14:paraId="12B6A644" w14:textId="44282B0F" w:rsidR="00DD6558" w:rsidRDefault="00DD6558" w:rsidP="007F6FF1">
            <w:r w:rsidRPr="00390B09">
              <w:rPr>
                <w:rFonts w:eastAsia="Arial"/>
              </w:rPr>
              <w:t>June 2021</w:t>
            </w:r>
          </w:p>
        </w:tc>
        <w:tc>
          <w:tcPr>
            <w:tcW w:w="2609" w:type="dxa"/>
          </w:tcPr>
          <w:p w14:paraId="04153FC8" w14:textId="5408BE35" w:rsidR="00DD6558" w:rsidRDefault="00DD6558" w:rsidP="007F6FF1">
            <w:r w:rsidRPr="00390B09">
              <w:t>Feasibility study completed.</w:t>
            </w:r>
          </w:p>
        </w:tc>
      </w:tr>
      <w:tr w:rsidR="00DD6558" w14:paraId="2E6D6368" w14:textId="77777777" w:rsidTr="00D2626A">
        <w:trPr>
          <w:cantSplit/>
        </w:trPr>
        <w:tc>
          <w:tcPr>
            <w:tcW w:w="846" w:type="dxa"/>
          </w:tcPr>
          <w:p w14:paraId="2A170269" w14:textId="101029C5" w:rsidR="00DD6558" w:rsidRDefault="00DD6558" w:rsidP="007F6FF1">
            <w:r>
              <w:t>9.9</w:t>
            </w:r>
          </w:p>
        </w:tc>
        <w:tc>
          <w:tcPr>
            <w:tcW w:w="2839" w:type="dxa"/>
          </w:tcPr>
          <w:p w14:paraId="4FC4311D" w14:textId="2B6FE95D" w:rsidR="00DD6558" w:rsidRDefault="00DD6558" w:rsidP="007F6FF1">
            <w:r w:rsidRPr="00390B09">
              <w:rPr>
                <w:rFonts w:eastAsia="Arial"/>
              </w:rPr>
              <w:t>We will allocate accessible car</w:t>
            </w:r>
            <w:r w:rsidR="00B50606">
              <w:rPr>
                <w:rFonts w:eastAsia="Arial"/>
              </w:rPr>
              <w:t xml:space="preserve"> </w:t>
            </w:r>
            <w:r w:rsidRPr="00390B09">
              <w:rPr>
                <w:rFonts w:eastAsia="Arial"/>
              </w:rPr>
              <w:t>parking spaces to employees of DHS with transport access issues.</w:t>
            </w:r>
          </w:p>
        </w:tc>
        <w:tc>
          <w:tcPr>
            <w:tcW w:w="2159" w:type="dxa"/>
          </w:tcPr>
          <w:p w14:paraId="349CFD81" w14:textId="7ED912A0" w:rsidR="00DD6558" w:rsidRDefault="00DD6558" w:rsidP="007F6FF1">
            <w:r>
              <w:t>Infrastructure</w:t>
            </w:r>
            <w:r w:rsidRPr="00390B09">
              <w:t xml:space="preserve"> </w:t>
            </w:r>
          </w:p>
        </w:tc>
        <w:tc>
          <w:tcPr>
            <w:tcW w:w="1639" w:type="dxa"/>
          </w:tcPr>
          <w:p w14:paraId="05B5FAC9" w14:textId="68AC8AEB" w:rsidR="00DD6558" w:rsidRDefault="00DD6558" w:rsidP="007F6FF1">
            <w:r w:rsidRPr="00390B09">
              <w:t xml:space="preserve">Annual review </w:t>
            </w:r>
          </w:p>
        </w:tc>
        <w:tc>
          <w:tcPr>
            <w:tcW w:w="2609" w:type="dxa"/>
          </w:tcPr>
          <w:p w14:paraId="316297FC" w14:textId="3E5A50E2" w:rsidR="00DD6558" w:rsidRDefault="00DD6558" w:rsidP="007F6FF1">
            <w:r w:rsidRPr="00390B09">
              <w:t>The demand for accessible car parks is met.</w:t>
            </w:r>
            <w:r w:rsidRPr="00390B09" w:rsidDel="00C067DB">
              <w:t xml:space="preserve"> </w:t>
            </w:r>
          </w:p>
        </w:tc>
      </w:tr>
      <w:tr w:rsidR="00DD6558" w14:paraId="123571D4" w14:textId="77777777" w:rsidTr="00D2626A">
        <w:trPr>
          <w:cantSplit/>
        </w:trPr>
        <w:tc>
          <w:tcPr>
            <w:tcW w:w="846" w:type="dxa"/>
          </w:tcPr>
          <w:p w14:paraId="77110EAA" w14:textId="2D5871F7" w:rsidR="00DD6558" w:rsidRDefault="00DD6558" w:rsidP="007F6FF1">
            <w:r>
              <w:t>9.10</w:t>
            </w:r>
          </w:p>
        </w:tc>
        <w:tc>
          <w:tcPr>
            <w:tcW w:w="2839" w:type="dxa"/>
          </w:tcPr>
          <w:p w14:paraId="646C780E" w14:textId="69695266" w:rsidR="00DD6558" w:rsidRDefault="00DD6558" w:rsidP="007F6FF1">
            <w:r w:rsidRPr="00390B09">
              <w:rPr>
                <w:rFonts w:eastAsia="Arial"/>
              </w:rPr>
              <w:t xml:space="preserve">We will </w:t>
            </w:r>
            <w:r>
              <w:rPr>
                <w:rFonts w:eastAsia="Arial"/>
              </w:rPr>
              <w:t xml:space="preserve">ensure </w:t>
            </w:r>
            <w:r w:rsidRPr="003E28F5">
              <w:rPr>
                <w:rFonts w:eastAsia="Arial"/>
                <w:b/>
                <w:bCs/>
              </w:rPr>
              <w:t>action 26 of Inclusive SA</w:t>
            </w:r>
            <w:r>
              <w:rPr>
                <w:rFonts w:eastAsia="Arial"/>
              </w:rPr>
              <w:t xml:space="preserve"> is </w:t>
            </w:r>
            <w:r w:rsidRPr="00390B09">
              <w:rPr>
                <w:rFonts w:eastAsia="Arial"/>
              </w:rPr>
              <w:t>include</w:t>
            </w:r>
            <w:r>
              <w:rPr>
                <w:rFonts w:eastAsia="Arial"/>
              </w:rPr>
              <w:t>d</w:t>
            </w:r>
            <w:r w:rsidRPr="00390B09">
              <w:rPr>
                <w:rFonts w:eastAsia="Arial"/>
              </w:rPr>
              <w:t xml:space="preserve"> as part of infrastructure maintenance and upg</w:t>
            </w:r>
            <w:r w:rsidRPr="00963A06">
              <w:t xml:space="preserve">rade </w:t>
            </w:r>
            <w:r w:rsidR="00963A06" w:rsidRPr="00963A06">
              <w:t xml:space="preserve">schedules to include </w:t>
            </w:r>
            <w:r w:rsidRPr="00963A06">
              <w:t>t</w:t>
            </w:r>
            <w:r w:rsidRPr="00390B09">
              <w:rPr>
                <w:rFonts w:eastAsia="Arial"/>
              </w:rPr>
              <w:t>he installation of signs on the front of public buildings indicating disability access (where this has been assessed by an accredited access consultant) and installation of multi-media devices in queues at service outlets to include people who are deaf, hard of hearing, vision impaired or blind.</w:t>
            </w:r>
          </w:p>
        </w:tc>
        <w:tc>
          <w:tcPr>
            <w:tcW w:w="2159" w:type="dxa"/>
          </w:tcPr>
          <w:p w14:paraId="3046AB4C" w14:textId="7DE441A0" w:rsidR="00DD6558" w:rsidRDefault="00DD6558" w:rsidP="007F6FF1">
            <w:r w:rsidRPr="00390B09">
              <w:t xml:space="preserve">Infrastructure </w:t>
            </w:r>
          </w:p>
        </w:tc>
        <w:tc>
          <w:tcPr>
            <w:tcW w:w="1639" w:type="dxa"/>
          </w:tcPr>
          <w:p w14:paraId="22263FE7" w14:textId="38B6A5B7" w:rsidR="00DD6558" w:rsidRDefault="00DD6558" w:rsidP="007F6FF1">
            <w:r w:rsidRPr="00390B09">
              <w:t>June 2021</w:t>
            </w:r>
          </w:p>
        </w:tc>
        <w:tc>
          <w:tcPr>
            <w:tcW w:w="2609" w:type="dxa"/>
          </w:tcPr>
          <w:p w14:paraId="306E4AB9" w14:textId="52002A6E" w:rsidR="00DD6558" w:rsidRDefault="00DD6558" w:rsidP="007F6FF1">
            <w:r w:rsidRPr="00390B09">
              <w:t xml:space="preserve">All DHS public buildings have appropriate signage </w:t>
            </w:r>
          </w:p>
        </w:tc>
      </w:tr>
      <w:tr w:rsidR="00DD6558" w14:paraId="5FF6282E" w14:textId="77777777" w:rsidTr="00D2626A">
        <w:trPr>
          <w:cantSplit/>
        </w:trPr>
        <w:tc>
          <w:tcPr>
            <w:tcW w:w="846" w:type="dxa"/>
          </w:tcPr>
          <w:p w14:paraId="14E4EFC7" w14:textId="7062C814" w:rsidR="00DD6558" w:rsidRDefault="00DD6558" w:rsidP="007F6FF1">
            <w:r>
              <w:t>9.11</w:t>
            </w:r>
          </w:p>
        </w:tc>
        <w:tc>
          <w:tcPr>
            <w:tcW w:w="2839" w:type="dxa"/>
          </w:tcPr>
          <w:p w14:paraId="34FF13F9" w14:textId="77777777" w:rsidR="00DD6558" w:rsidRPr="00390B09" w:rsidRDefault="00DD6558" w:rsidP="007F6FF1">
            <w:r w:rsidRPr="00390B09">
              <w:t xml:space="preserve">Through the Exceptional Needs Unit, we will continue to support eligible clients with exceptional needs to access the NDIS or navigate alternative support pathways. </w:t>
            </w:r>
          </w:p>
          <w:p w14:paraId="2DCF6FD9" w14:textId="77777777" w:rsidR="00DD6558" w:rsidRDefault="00DD6558" w:rsidP="007F6FF1"/>
        </w:tc>
        <w:tc>
          <w:tcPr>
            <w:tcW w:w="2159" w:type="dxa"/>
          </w:tcPr>
          <w:p w14:paraId="0A02A769" w14:textId="38ADFFC3" w:rsidR="00DD6558" w:rsidRDefault="00DD6558" w:rsidP="007F6FF1">
            <w:r w:rsidRPr="00390B09">
              <w:t>Community and Family Services</w:t>
            </w:r>
          </w:p>
        </w:tc>
        <w:tc>
          <w:tcPr>
            <w:tcW w:w="1639" w:type="dxa"/>
          </w:tcPr>
          <w:p w14:paraId="22DD16E0" w14:textId="0639C08C" w:rsidR="00DD6558" w:rsidRDefault="00DD6558" w:rsidP="007F6FF1">
            <w:r w:rsidRPr="00390B09">
              <w:t>Ongoing</w:t>
            </w:r>
          </w:p>
        </w:tc>
        <w:tc>
          <w:tcPr>
            <w:tcW w:w="2609" w:type="dxa"/>
          </w:tcPr>
          <w:p w14:paraId="709C7321" w14:textId="77777777" w:rsidR="00DD6558" w:rsidRPr="00390B09" w:rsidRDefault="00DD6558" w:rsidP="007F6FF1">
            <w:r w:rsidRPr="00390B09">
              <w:t>Clients have improved accessibility to the NDIS.</w:t>
            </w:r>
          </w:p>
          <w:p w14:paraId="16C35DE7" w14:textId="3CF9A2A3" w:rsidR="00DD6558" w:rsidRDefault="00DD6558" w:rsidP="007F6FF1">
            <w:r w:rsidRPr="00390B09">
              <w:t>Improved capacity for supporting clients who don’t meet NDIS criteria.</w:t>
            </w:r>
          </w:p>
        </w:tc>
      </w:tr>
      <w:tr w:rsidR="00B4128C" w14:paraId="00BBCE42" w14:textId="77777777" w:rsidTr="00D2626A">
        <w:trPr>
          <w:cantSplit/>
        </w:trPr>
        <w:tc>
          <w:tcPr>
            <w:tcW w:w="846" w:type="dxa"/>
          </w:tcPr>
          <w:p w14:paraId="29B006F4" w14:textId="7F48C761" w:rsidR="00B4128C" w:rsidRDefault="00B4128C" w:rsidP="007F6FF1">
            <w:r>
              <w:t>9.12</w:t>
            </w:r>
          </w:p>
        </w:tc>
        <w:tc>
          <w:tcPr>
            <w:tcW w:w="2839" w:type="dxa"/>
          </w:tcPr>
          <w:p w14:paraId="61079209" w14:textId="38C1ACE3" w:rsidR="00B4128C" w:rsidRPr="00390B09" w:rsidRDefault="00B4128C" w:rsidP="007F6FF1">
            <w:r w:rsidRPr="00B4128C">
              <w:t>We will deliver a culturally appropriate service model that meets the needs of people experiencing complex supports needs</w:t>
            </w:r>
            <w:r>
              <w:t>.</w:t>
            </w:r>
          </w:p>
        </w:tc>
        <w:tc>
          <w:tcPr>
            <w:tcW w:w="2159" w:type="dxa"/>
          </w:tcPr>
          <w:p w14:paraId="7A7A4379" w14:textId="2F8366A3" w:rsidR="00B4128C" w:rsidRPr="00390B09" w:rsidRDefault="00B4128C" w:rsidP="007F6FF1">
            <w:r w:rsidRPr="00B4128C">
              <w:t>Accommodation Services</w:t>
            </w:r>
          </w:p>
        </w:tc>
        <w:tc>
          <w:tcPr>
            <w:tcW w:w="1639" w:type="dxa"/>
          </w:tcPr>
          <w:p w14:paraId="3F7B81DA" w14:textId="70CE8052" w:rsidR="00B4128C" w:rsidRPr="00390B09" w:rsidRDefault="00B4128C" w:rsidP="007F6FF1">
            <w:r w:rsidRPr="00B4128C">
              <w:t>Ongoing</w:t>
            </w:r>
          </w:p>
        </w:tc>
        <w:tc>
          <w:tcPr>
            <w:tcW w:w="2609" w:type="dxa"/>
          </w:tcPr>
          <w:p w14:paraId="00315CA5" w14:textId="7ACA2A32" w:rsidR="00B4128C" w:rsidRPr="00390B09" w:rsidRDefault="00B4128C" w:rsidP="007F6FF1">
            <w:r w:rsidRPr="00B4128C">
              <w:t>Implement a service model for Aboriginal clients based on co-design principles and engagement with local Aboriginal communities</w:t>
            </w:r>
            <w:r>
              <w:t>.</w:t>
            </w:r>
          </w:p>
        </w:tc>
      </w:tr>
    </w:tbl>
    <w:p w14:paraId="0BF3F126" w14:textId="77777777" w:rsidR="00DD6558" w:rsidRPr="00DD6558" w:rsidRDefault="00DD6558" w:rsidP="007F6FF1"/>
    <w:p w14:paraId="7E06132F" w14:textId="77777777" w:rsidR="007D67A1" w:rsidRDefault="00DE3A93" w:rsidP="007F6FF1">
      <w:hyperlink w:anchor="_DHS_actions" w:history="1">
        <w:r w:rsidR="007D67A1" w:rsidRPr="003B5C78">
          <w:rPr>
            <w:rStyle w:val="Hyperlink"/>
          </w:rPr>
          <w:t>Back to top</w:t>
        </w:r>
      </w:hyperlink>
    </w:p>
    <w:p w14:paraId="61F818E5" w14:textId="75061F52" w:rsidR="00DD6558" w:rsidRDefault="00DD6558" w:rsidP="00DE3A93">
      <w:pPr>
        <w:pStyle w:val="Heading3"/>
      </w:pPr>
      <w:bookmarkStart w:id="25" w:name="_Toc53041873"/>
      <w:r w:rsidRPr="00390B09">
        <w:t>Theme Four: Learning and employment</w:t>
      </w:r>
      <w:bookmarkEnd w:id="25"/>
    </w:p>
    <w:p w14:paraId="2816F491" w14:textId="77777777" w:rsidR="00DD6558" w:rsidRPr="00390B09" w:rsidRDefault="00DD6558" w:rsidP="007F6FF1">
      <w:r w:rsidRPr="00390B09">
        <w:t xml:space="preserve">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 </w:t>
      </w:r>
    </w:p>
    <w:p w14:paraId="2B2791F4" w14:textId="62E31B97" w:rsidR="00DD6558" w:rsidRDefault="00DD6558" w:rsidP="007F6FF1">
      <w:r w:rsidRPr="00390B09">
        <w:t>DHS will undertake the following actions to foster learning and employment opportunities for people with disability</w:t>
      </w:r>
      <w:r w:rsidR="00E92D3B">
        <w:t>.</w:t>
      </w:r>
    </w:p>
    <w:p w14:paraId="31C4880D" w14:textId="4F8CEE91" w:rsidR="00FF4DDF" w:rsidRPr="00DD6558" w:rsidRDefault="00FF4DDF" w:rsidP="00D2626A">
      <w:pPr>
        <w:pStyle w:val="Heading4"/>
      </w:pPr>
      <w:r w:rsidRPr="00390B09">
        <w:t>Priority 1</w:t>
      </w:r>
      <w:r>
        <w:t>0</w:t>
      </w:r>
      <w:r w:rsidRPr="00390B09">
        <w:t xml:space="preserve">: </w:t>
      </w:r>
      <w:r w:rsidRPr="00FF4DDF">
        <w:t>Better supports within educational and training settings</w:t>
      </w:r>
    </w:p>
    <w:tbl>
      <w:tblPr>
        <w:tblStyle w:val="TableGrid"/>
        <w:tblW w:w="4950" w:type="pct"/>
        <w:tblLook w:val="04A0" w:firstRow="1" w:lastRow="0" w:firstColumn="1" w:lastColumn="0" w:noHBand="0" w:noVBand="1"/>
      </w:tblPr>
      <w:tblGrid>
        <w:gridCol w:w="989"/>
        <w:gridCol w:w="2803"/>
        <w:gridCol w:w="2091"/>
        <w:gridCol w:w="1887"/>
        <w:gridCol w:w="2322"/>
      </w:tblGrid>
      <w:tr w:rsidR="00FF4DDF" w:rsidRPr="00120A28" w14:paraId="4340B4B6" w14:textId="77777777" w:rsidTr="00DE3A93">
        <w:trPr>
          <w:cantSplit/>
          <w:tblHeader/>
        </w:trPr>
        <w:tc>
          <w:tcPr>
            <w:tcW w:w="935" w:type="dxa"/>
          </w:tcPr>
          <w:p w14:paraId="419BD6DC" w14:textId="77777777" w:rsidR="00FF4DDF" w:rsidRPr="00120A28" w:rsidRDefault="00FF4DDF" w:rsidP="00844B09">
            <w:pPr>
              <w:pStyle w:val="Table-Header"/>
            </w:pPr>
            <w:r w:rsidRPr="00120A28">
              <w:t xml:space="preserve">No. </w:t>
            </w:r>
          </w:p>
        </w:tc>
        <w:tc>
          <w:tcPr>
            <w:tcW w:w="2647" w:type="dxa"/>
          </w:tcPr>
          <w:p w14:paraId="128E99E1" w14:textId="77777777" w:rsidR="00FF4DDF" w:rsidRPr="00120A28" w:rsidRDefault="00FF4DDF" w:rsidP="00844B09">
            <w:pPr>
              <w:pStyle w:val="Table-Header"/>
            </w:pPr>
            <w:r w:rsidRPr="00120A28">
              <w:t>Action</w:t>
            </w:r>
          </w:p>
        </w:tc>
        <w:tc>
          <w:tcPr>
            <w:tcW w:w="1975" w:type="dxa"/>
          </w:tcPr>
          <w:p w14:paraId="03B20C0F" w14:textId="77777777" w:rsidR="00FF4DDF" w:rsidRPr="00120A28" w:rsidRDefault="00FF4DDF" w:rsidP="00844B09">
            <w:pPr>
              <w:pStyle w:val="Table-Header"/>
            </w:pPr>
            <w:r w:rsidRPr="00120A28">
              <w:t>Lead Directorate</w:t>
            </w:r>
          </w:p>
        </w:tc>
        <w:tc>
          <w:tcPr>
            <w:tcW w:w="1782" w:type="dxa"/>
          </w:tcPr>
          <w:p w14:paraId="60853B38" w14:textId="77777777" w:rsidR="00FF4DDF" w:rsidRPr="00120A28" w:rsidRDefault="00FF4DDF" w:rsidP="00844B09">
            <w:pPr>
              <w:pStyle w:val="Table-Header"/>
            </w:pPr>
            <w:r w:rsidRPr="00120A28">
              <w:t>Timeframe</w:t>
            </w:r>
          </w:p>
        </w:tc>
        <w:tc>
          <w:tcPr>
            <w:tcW w:w="2193" w:type="dxa"/>
          </w:tcPr>
          <w:p w14:paraId="723DADC8" w14:textId="77777777" w:rsidR="00FF4DDF" w:rsidRPr="00120A28" w:rsidRDefault="00FF4DDF" w:rsidP="00844B09">
            <w:pPr>
              <w:pStyle w:val="Table-Header"/>
            </w:pPr>
            <w:r w:rsidRPr="00120A28">
              <w:t>Target</w:t>
            </w:r>
          </w:p>
        </w:tc>
      </w:tr>
      <w:tr w:rsidR="00FF4DDF" w14:paraId="493AD075" w14:textId="77777777" w:rsidTr="00DE3A93">
        <w:trPr>
          <w:cantSplit/>
        </w:trPr>
        <w:tc>
          <w:tcPr>
            <w:tcW w:w="935" w:type="dxa"/>
          </w:tcPr>
          <w:p w14:paraId="2461890E" w14:textId="57AA95C7" w:rsidR="00FF4DDF" w:rsidRDefault="00FF4DDF" w:rsidP="00DE3A93">
            <w:r>
              <w:t>10.1</w:t>
            </w:r>
          </w:p>
        </w:tc>
        <w:tc>
          <w:tcPr>
            <w:tcW w:w="2647" w:type="dxa"/>
          </w:tcPr>
          <w:p w14:paraId="4CD396E2" w14:textId="2969EF6F" w:rsidR="00FF4DDF" w:rsidRDefault="00FF4DDF" w:rsidP="00DE3A93">
            <w:r w:rsidRPr="00FF4DDF">
              <w:rPr>
                <w:rFonts w:eastAsia="Arial"/>
              </w:rPr>
              <w:t xml:space="preserve">We will lead action </w:t>
            </w:r>
            <w:r w:rsidRPr="00FF4DDF">
              <w:rPr>
                <w:rFonts w:eastAsia="Arial"/>
                <w:b/>
                <w:bCs/>
              </w:rPr>
              <w:t>34 of Inclusive SA</w:t>
            </w:r>
            <w:r w:rsidRPr="00FF4DDF">
              <w:rPr>
                <w:rFonts w:eastAsia="Arial"/>
              </w:rPr>
              <w:t xml:space="preserve"> to determine </w:t>
            </w:r>
            <w:r w:rsidR="00DE3A93">
              <w:rPr>
                <w:rFonts w:eastAsia="Arial"/>
              </w:rPr>
              <w:t xml:space="preserve">the </w:t>
            </w:r>
            <w:r w:rsidRPr="00FF4DDF">
              <w:rPr>
                <w:rFonts w:eastAsia="Arial"/>
              </w:rPr>
              <w:t>data required to measure and track the percentage of children and adults living with disability participating and achieving in education and training.</w:t>
            </w:r>
          </w:p>
        </w:tc>
        <w:tc>
          <w:tcPr>
            <w:tcW w:w="1975" w:type="dxa"/>
          </w:tcPr>
          <w:p w14:paraId="6C5029CD" w14:textId="656B7A6E" w:rsidR="00FF4DDF" w:rsidRDefault="00FF4DDF" w:rsidP="00DE3A93">
            <w:r w:rsidRPr="00FF4DDF">
              <w:t>Disability Access and Inclusion</w:t>
            </w:r>
          </w:p>
        </w:tc>
        <w:tc>
          <w:tcPr>
            <w:tcW w:w="1782" w:type="dxa"/>
          </w:tcPr>
          <w:p w14:paraId="082269BD" w14:textId="06064EAB" w:rsidR="00FF4DDF" w:rsidRDefault="00FF4DDF" w:rsidP="00FF4DDF">
            <w:r>
              <w:t>Complete September 2020 and June 2023</w:t>
            </w:r>
          </w:p>
          <w:p w14:paraId="5A60852C" w14:textId="6DE18685" w:rsidR="00FF4DDF" w:rsidRDefault="00FF4DDF" w:rsidP="00DE3A93"/>
        </w:tc>
        <w:tc>
          <w:tcPr>
            <w:tcW w:w="2193" w:type="dxa"/>
          </w:tcPr>
          <w:p w14:paraId="3CF9EE28" w14:textId="08382E04" w:rsidR="00FF4DDF" w:rsidRDefault="002059D1" w:rsidP="00FF4DDF">
            <w:r w:rsidRPr="002059D1">
              <w:t xml:space="preserve">Completed the Technical Assessment in consultation with the Australian Institute of Health </w:t>
            </w:r>
            <w:r>
              <w:t>and</w:t>
            </w:r>
            <w:r w:rsidRPr="002059D1">
              <w:t xml:space="preserve"> Welfare for the delivery of the National Disability Data Asset test case that will focus on education to employment</w:t>
            </w:r>
            <w:bookmarkStart w:id="26" w:name="_Hlk52976595"/>
            <w:r w:rsidR="00FF4DDF">
              <w:t>.</w:t>
            </w:r>
            <w:bookmarkEnd w:id="26"/>
          </w:p>
          <w:p w14:paraId="43E1D1CF" w14:textId="5B324215" w:rsidR="00FF4DDF" w:rsidRDefault="00FF4DDF" w:rsidP="00FF4DDF">
            <w:r>
              <w:t>Further data collection and analysis in line with the role out of NDDA to capture the percentages of education to employment</w:t>
            </w:r>
          </w:p>
        </w:tc>
      </w:tr>
    </w:tbl>
    <w:p w14:paraId="705C05AC" w14:textId="77777777" w:rsidR="00FF4DDF" w:rsidRDefault="00FF4DDF" w:rsidP="00FF4DDF"/>
    <w:p w14:paraId="15528A47" w14:textId="77777777" w:rsidR="00FF4DDF" w:rsidRDefault="00DE3A93" w:rsidP="00FF4DDF">
      <w:hyperlink w:anchor="_DHS_actions" w:history="1">
        <w:r w:rsidR="00FF4DDF" w:rsidRPr="003B5C78">
          <w:rPr>
            <w:rStyle w:val="Hyperlink"/>
          </w:rPr>
          <w:t>Back to top</w:t>
        </w:r>
      </w:hyperlink>
    </w:p>
    <w:p w14:paraId="71F6F035" w14:textId="77777777" w:rsidR="00D2626A" w:rsidRDefault="00D2626A">
      <w:pPr>
        <w:spacing w:after="200" w:line="288" w:lineRule="auto"/>
        <w:rPr>
          <w:rFonts w:eastAsiaTheme="majorEastAsia" w:cs="Arial"/>
          <w:b/>
          <w:bCs/>
          <w:color w:val="000000" w:themeColor="text1"/>
          <w:sz w:val="32"/>
          <w:szCs w:val="32"/>
        </w:rPr>
      </w:pPr>
      <w:r>
        <w:br w:type="page"/>
      </w:r>
    </w:p>
    <w:p w14:paraId="466FCA83" w14:textId="302AB88E" w:rsidR="00DD6558" w:rsidRPr="00DD6558" w:rsidRDefault="00DD6558" w:rsidP="00D2626A">
      <w:pPr>
        <w:pStyle w:val="Heading4"/>
      </w:pPr>
      <w:r w:rsidRPr="00390B09">
        <w:lastRenderedPageBreak/>
        <w:t>Priority 1</w:t>
      </w:r>
      <w:r w:rsidR="00255B47">
        <w:t>1</w:t>
      </w:r>
      <w:r w:rsidRPr="00390B09">
        <w:t>: Skill development through volunteering and support in navigating the pathway between learning and earning</w:t>
      </w:r>
    </w:p>
    <w:p w14:paraId="63909216" w14:textId="3C4149FB" w:rsidR="00815366" w:rsidRDefault="00815366" w:rsidP="007F6FF1"/>
    <w:tbl>
      <w:tblPr>
        <w:tblStyle w:val="TableGrid"/>
        <w:tblW w:w="4950" w:type="pct"/>
        <w:tblLook w:val="04A0" w:firstRow="1" w:lastRow="0" w:firstColumn="1" w:lastColumn="0" w:noHBand="0" w:noVBand="1"/>
      </w:tblPr>
      <w:tblGrid>
        <w:gridCol w:w="989"/>
        <w:gridCol w:w="2803"/>
        <w:gridCol w:w="2091"/>
        <w:gridCol w:w="1887"/>
        <w:gridCol w:w="2322"/>
      </w:tblGrid>
      <w:tr w:rsidR="00DD6558" w:rsidRPr="00120A28" w14:paraId="2EE9B7FD" w14:textId="77777777" w:rsidTr="000A0F0B">
        <w:trPr>
          <w:cantSplit/>
          <w:tblHeader/>
        </w:trPr>
        <w:tc>
          <w:tcPr>
            <w:tcW w:w="935" w:type="dxa"/>
          </w:tcPr>
          <w:p w14:paraId="583B7439" w14:textId="77777777" w:rsidR="00DD6558" w:rsidRPr="00120A28" w:rsidRDefault="00DD6558" w:rsidP="00844B09">
            <w:pPr>
              <w:pStyle w:val="Table-Header"/>
            </w:pPr>
            <w:r w:rsidRPr="00120A28">
              <w:t xml:space="preserve">No. </w:t>
            </w:r>
          </w:p>
        </w:tc>
        <w:tc>
          <w:tcPr>
            <w:tcW w:w="2647" w:type="dxa"/>
          </w:tcPr>
          <w:p w14:paraId="7BE68F10" w14:textId="77777777" w:rsidR="00DD6558" w:rsidRPr="00120A28" w:rsidRDefault="00DD6558" w:rsidP="00844B09">
            <w:pPr>
              <w:pStyle w:val="Table-Header"/>
            </w:pPr>
            <w:r w:rsidRPr="00120A28">
              <w:t>Action</w:t>
            </w:r>
          </w:p>
        </w:tc>
        <w:tc>
          <w:tcPr>
            <w:tcW w:w="1975" w:type="dxa"/>
          </w:tcPr>
          <w:p w14:paraId="570B4947" w14:textId="77777777" w:rsidR="00DD6558" w:rsidRPr="00120A28" w:rsidRDefault="00DD6558" w:rsidP="00844B09">
            <w:pPr>
              <w:pStyle w:val="Table-Header"/>
            </w:pPr>
            <w:r w:rsidRPr="00120A28">
              <w:t>Lead Directorate</w:t>
            </w:r>
          </w:p>
        </w:tc>
        <w:tc>
          <w:tcPr>
            <w:tcW w:w="1782" w:type="dxa"/>
          </w:tcPr>
          <w:p w14:paraId="67071B5B" w14:textId="77777777" w:rsidR="00DD6558" w:rsidRPr="00120A28" w:rsidRDefault="00DD6558" w:rsidP="00844B09">
            <w:pPr>
              <w:pStyle w:val="Table-Header"/>
            </w:pPr>
            <w:r w:rsidRPr="00120A28">
              <w:t>Timeframe</w:t>
            </w:r>
          </w:p>
        </w:tc>
        <w:tc>
          <w:tcPr>
            <w:tcW w:w="2193" w:type="dxa"/>
          </w:tcPr>
          <w:p w14:paraId="16B167D9" w14:textId="77777777" w:rsidR="00DD6558" w:rsidRPr="00120A28" w:rsidRDefault="00DD6558" w:rsidP="00844B09">
            <w:pPr>
              <w:pStyle w:val="Table-Header"/>
            </w:pPr>
            <w:r w:rsidRPr="00120A28">
              <w:t>Target</w:t>
            </w:r>
          </w:p>
        </w:tc>
      </w:tr>
      <w:tr w:rsidR="000A0F0B" w14:paraId="07E662BE" w14:textId="77777777" w:rsidTr="000A0F0B">
        <w:trPr>
          <w:cantSplit/>
        </w:trPr>
        <w:tc>
          <w:tcPr>
            <w:tcW w:w="935" w:type="dxa"/>
          </w:tcPr>
          <w:p w14:paraId="57443BAD" w14:textId="10ABFE63" w:rsidR="000A0F0B" w:rsidRDefault="000A0F0B" w:rsidP="007F6FF1">
            <w:r>
              <w:t>1</w:t>
            </w:r>
            <w:r w:rsidR="00255B47">
              <w:t>1</w:t>
            </w:r>
            <w:r>
              <w:t>.1</w:t>
            </w:r>
          </w:p>
        </w:tc>
        <w:tc>
          <w:tcPr>
            <w:tcW w:w="2647" w:type="dxa"/>
          </w:tcPr>
          <w:p w14:paraId="6FB242B9" w14:textId="4550EC71" w:rsidR="000A0F0B" w:rsidRDefault="000A0F0B" w:rsidP="007F6FF1">
            <w:r w:rsidRPr="00390B09">
              <w:rPr>
                <w:rFonts w:eastAsia="Arial"/>
              </w:rPr>
              <w:t xml:space="preserve">We will explore pathways for people </w:t>
            </w:r>
            <w:r>
              <w:rPr>
                <w:rFonts w:eastAsia="Arial"/>
              </w:rPr>
              <w:t>with disability</w:t>
            </w:r>
            <w:r w:rsidRPr="00390B09">
              <w:rPr>
                <w:rFonts w:eastAsia="Arial"/>
              </w:rPr>
              <w:t xml:space="preserve"> to access meaningful volunteering opportunities that will support learning and employment pathways in the implementation of </w:t>
            </w:r>
            <w:r w:rsidRPr="00390B09">
              <w:rPr>
                <w:rFonts w:eastAsia="Arial"/>
                <w:b/>
                <w:bCs/>
              </w:rPr>
              <w:t>action 36 in Inclusive SA</w:t>
            </w:r>
            <w:r w:rsidRPr="00390B09">
              <w:rPr>
                <w:rFonts w:eastAsia="Arial"/>
              </w:rPr>
              <w:t>.</w:t>
            </w:r>
          </w:p>
        </w:tc>
        <w:tc>
          <w:tcPr>
            <w:tcW w:w="1975" w:type="dxa"/>
          </w:tcPr>
          <w:p w14:paraId="24B69C1C" w14:textId="4C8B8C9B" w:rsidR="000A0F0B" w:rsidRDefault="000A0F0B" w:rsidP="007F6FF1">
            <w:r w:rsidRPr="00390B09">
              <w:t>Community and Family Services</w:t>
            </w:r>
          </w:p>
        </w:tc>
        <w:tc>
          <w:tcPr>
            <w:tcW w:w="1782" w:type="dxa"/>
          </w:tcPr>
          <w:p w14:paraId="0C8F9D0A" w14:textId="209E032F" w:rsidR="000A0F0B" w:rsidRDefault="000A0F0B" w:rsidP="007F6FF1">
            <w:r w:rsidRPr="00390B09">
              <w:t>March 2021</w:t>
            </w:r>
          </w:p>
        </w:tc>
        <w:tc>
          <w:tcPr>
            <w:tcW w:w="2193" w:type="dxa"/>
          </w:tcPr>
          <w:p w14:paraId="13BE5598" w14:textId="68ECD2A0" w:rsidR="000A0F0B" w:rsidRDefault="000A0F0B" w:rsidP="007F6FF1">
            <w:r w:rsidRPr="00390B09">
              <w:t xml:space="preserve">Clear pathways are identified for people </w:t>
            </w:r>
            <w:r>
              <w:t>with disability</w:t>
            </w:r>
            <w:r w:rsidRPr="00390B09">
              <w:t xml:space="preserve"> to transition from volunteering to work placement.</w:t>
            </w:r>
          </w:p>
        </w:tc>
      </w:tr>
    </w:tbl>
    <w:p w14:paraId="3AECC967" w14:textId="1BA2A419" w:rsidR="0036500B" w:rsidRDefault="0036500B" w:rsidP="007F6FF1"/>
    <w:p w14:paraId="0668FEE9" w14:textId="77777777" w:rsidR="000A0F0B" w:rsidRDefault="00DE3A93" w:rsidP="007F6FF1">
      <w:hyperlink w:anchor="_DHS_actions" w:history="1">
        <w:r w:rsidR="000A0F0B" w:rsidRPr="003B5C78">
          <w:rPr>
            <w:rStyle w:val="Hyperlink"/>
          </w:rPr>
          <w:t>Back to top</w:t>
        </w:r>
      </w:hyperlink>
    </w:p>
    <w:p w14:paraId="0F821097" w14:textId="321E7A86" w:rsidR="000A0F0B" w:rsidRDefault="000A0F0B" w:rsidP="00D2626A">
      <w:pPr>
        <w:pStyle w:val="Heading4"/>
      </w:pPr>
      <w:r w:rsidRPr="00390B09">
        <w:t>Priority 1</w:t>
      </w:r>
      <w:r w:rsidR="00255B47">
        <w:t>2</w:t>
      </w:r>
      <w:r w:rsidRPr="00390B09">
        <w:t>: Improved access to employment opportunities and better support within workplaces</w:t>
      </w:r>
    </w:p>
    <w:tbl>
      <w:tblPr>
        <w:tblStyle w:val="TableGrid"/>
        <w:tblW w:w="4950" w:type="pct"/>
        <w:tblLook w:val="04A0" w:firstRow="1" w:lastRow="0" w:firstColumn="1" w:lastColumn="0" w:noHBand="0" w:noVBand="1"/>
      </w:tblPr>
      <w:tblGrid>
        <w:gridCol w:w="989"/>
        <w:gridCol w:w="2803"/>
        <w:gridCol w:w="2091"/>
        <w:gridCol w:w="1887"/>
        <w:gridCol w:w="2322"/>
      </w:tblGrid>
      <w:tr w:rsidR="000A0F0B" w:rsidRPr="00120A28" w14:paraId="1597F240" w14:textId="77777777" w:rsidTr="000A0F0B">
        <w:trPr>
          <w:cantSplit/>
          <w:tblHeader/>
        </w:trPr>
        <w:tc>
          <w:tcPr>
            <w:tcW w:w="935" w:type="dxa"/>
          </w:tcPr>
          <w:p w14:paraId="601CCB59" w14:textId="77777777" w:rsidR="000A0F0B" w:rsidRPr="00120A28" w:rsidRDefault="000A0F0B" w:rsidP="00844B09">
            <w:pPr>
              <w:pStyle w:val="Table-Header"/>
            </w:pPr>
            <w:r w:rsidRPr="00120A28">
              <w:t xml:space="preserve">No. </w:t>
            </w:r>
          </w:p>
        </w:tc>
        <w:tc>
          <w:tcPr>
            <w:tcW w:w="2647" w:type="dxa"/>
          </w:tcPr>
          <w:p w14:paraId="4BB211CA" w14:textId="77777777" w:rsidR="000A0F0B" w:rsidRPr="00120A28" w:rsidRDefault="000A0F0B" w:rsidP="00844B09">
            <w:pPr>
              <w:pStyle w:val="Table-Header"/>
            </w:pPr>
            <w:r w:rsidRPr="00120A28">
              <w:t>Action</w:t>
            </w:r>
          </w:p>
        </w:tc>
        <w:tc>
          <w:tcPr>
            <w:tcW w:w="1975" w:type="dxa"/>
          </w:tcPr>
          <w:p w14:paraId="096140E9" w14:textId="77777777" w:rsidR="000A0F0B" w:rsidRPr="00120A28" w:rsidRDefault="000A0F0B" w:rsidP="00844B09">
            <w:pPr>
              <w:pStyle w:val="Table-Header"/>
            </w:pPr>
            <w:r w:rsidRPr="00120A28">
              <w:t>Lead Directorate</w:t>
            </w:r>
          </w:p>
        </w:tc>
        <w:tc>
          <w:tcPr>
            <w:tcW w:w="1782" w:type="dxa"/>
          </w:tcPr>
          <w:p w14:paraId="7303EBE7" w14:textId="77777777" w:rsidR="000A0F0B" w:rsidRPr="00120A28" w:rsidRDefault="000A0F0B" w:rsidP="00844B09">
            <w:pPr>
              <w:pStyle w:val="Table-Header"/>
            </w:pPr>
            <w:r w:rsidRPr="00120A28">
              <w:t>Timeframe</w:t>
            </w:r>
          </w:p>
        </w:tc>
        <w:tc>
          <w:tcPr>
            <w:tcW w:w="2193" w:type="dxa"/>
          </w:tcPr>
          <w:p w14:paraId="787E0522" w14:textId="77777777" w:rsidR="000A0F0B" w:rsidRPr="00120A28" w:rsidRDefault="000A0F0B" w:rsidP="00844B09">
            <w:pPr>
              <w:pStyle w:val="Table-Header"/>
            </w:pPr>
            <w:r w:rsidRPr="00120A28">
              <w:t>Target</w:t>
            </w:r>
          </w:p>
        </w:tc>
      </w:tr>
      <w:tr w:rsidR="000A0F0B" w14:paraId="06A1A8FE" w14:textId="77777777" w:rsidTr="000A0F0B">
        <w:trPr>
          <w:cantSplit/>
        </w:trPr>
        <w:tc>
          <w:tcPr>
            <w:tcW w:w="935" w:type="dxa"/>
          </w:tcPr>
          <w:p w14:paraId="01352F56" w14:textId="35B94A8A" w:rsidR="000A0F0B" w:rsidRDefault="000A0F0B" w:rsidP="007F6FF1">
            <w:r>
              <w:t>1</w:t>
            </w:r>
            <w:r w:rsidR="00255B47">
              <w:t>2</w:t>
            </w:r>
            <w:r>
              <w:t>.1</w:t>
            </w:r>
          </w:p>
        </w:tc>
        <w:tc>
          <w:tcPr>
            <w:tcW w:w="2647" w:type="dxa"/>
          </w:tcPr>
          <w:p w14:paraId="70659E8D" w14:textId="13515131" w:rsidR="000A0F0B" w:rsidRDefault="000A0F0B" w:rsidP="007F6FF1">
            <w:r w:rsidRPr="00390B09">
              <w:rPr>
                <w:rFonts w:eastAsia="Arial"/>
              </w:rPr>
              <w:t>We will identify opportunities to purchase goods and services from Australian Disability Enterprises (ADEs) and from organisations who have strong inclusive employment practices and provide employment to people living with disability.</w:t>
            </w:r>
          </w:p>
        </w:tc>
        <w:tc>
          <w:tcPr>
            <w:tcW w:w="1975" w:type="dxa"/>
          </w:tcPr>
          <w:p w14:paraId="05807CCA" w14:textId="31A490B4" w:rsidR="000A0F0B" w:rsidRDefault="000A0F0B" w:rsidP="007F6FF1">
            <w:r w:rsidRPr="00390B09">
              <w:t>Procurement</w:t>
            </w:r>
            <w:r>
              <w:t xml:space="preserve"> and Grants</w:t>
            </w:r>
          </w:p>
        </w:tc>
        <w:tc>
          <w:tcPr>
            <w:tcW w:w="1782" w:type="dxa"/>
          </w:tcPr>
          <w:p w14:paraId="2D401040" w14:textId="1150234F" w:rsidR="000A0F0B" w:rsidRDefault="000A0F0B" w:rsidP="007F6FF1">
            <w:r w:rsidRPr="00390B09">
              <w:t>Ongoing</w:t>
            </w:r>
          </w:p>
        </w:tc>
        <w:tc>
          <w:tcPr>
            <w:tcW w:w="2193" w:type="dxa"/>
          </w:tcPr>
          <w:p w14:paraId="4A673FFA" w14:textId="77777777" w:rsidR="000A0F0B" w:rsidRPr="00390B09" w:rsidRDefault="000A0F0B" w:rsidP="007F6FF1">
            <w:r w:rsidRPr="00390B09">
              <w:t>Opportunities to purchase goods and services from ADEs or organisations that provide employment opportunities are identified and promoted.</w:t>
            </w:r>
          </w:p>
          <w:p w14:paraId="0DBC29F1" w14:textId="02DCD2B9" w:rsidR="000A0F0B" w:rsidRDefault="000A0F0B" w:rsidP="007F6FF1"/>
        </w:tc>
      </w:tr>
      <w:tr w:rsidR="000A0F0B" w14:paraId="78348C12" w14:textId="77777777" w:rsidTr="000A0F0B">
        <w:trPr>
          <w:cantSplit/>
        </w:trPr>
        <w:tc>
          <w:tcPr>
            <w:tcW w:w="935" w:type="dxa"/>
          </w:tcPr>
          <w:p w14:paraId="60323EA0" w14:textId="1CAD537D" w:rsidR="000A0F0B" w:rsidRDefault="000A0F0B" w:rsidP="007F6FF1">
            <w:r>
              <w:t>1</w:t>
            </w:r>
            <w:r w:rsidR="00255B47">
              <w:t>2</w:t>
            </w:r>
            <w:r>
              <w:t>.2</w:t>
            </w:r>
          </w:p>
        </w:tc>
        <w:tc>
          <w:tcPr>
            <w:tcW w:w="2647" w:type="dxa"/>
          </w:tcPr>
          <w:p w14:paraId="02997744" w14:textId="5E721FB5" w:rsidR="000A0F0B" w:rsidRDefault="000A0F0B" w:rsidP="007F6FF1">
            <w:r w:rsidRPr="00390B09">
              <w:rPr>
                <w:rFonts w:eastAsia="Arial"/>
              </w:rPr>
              <w:t>We will provide work placement opportunities and mentorship within Finance and Business Services for people with disability.</w:t>
            </w:r>
          </w:p>
        </w:tc>
        <w:tc>
          <w:tcPr>
            <w:tcW w:w="1975" w:type="dxa"/>
          </w:tcPr>
          <w:p w14:paraId="548117D6" w14:textId="5B374030" w:rsidR="000A0F0B" w:rsidRDefault="000A0F0B" w:rsidP="007F6FF1">
            <w:r w:rsidRPr="00390B09">
              <w:t xml:space="preserve">Finance and Business Services </w:t>
            </w:r>
          </w:p>
        </w:tc>
        <w:tc>
          <w:tcPr>
            <w:tcW w:w="1782" w:type="dxa"/>
          </w:tcPr>
          <w:p w14:paraId="777C460E" w14:textId="3B58846D" w:rsidR="000A0F0B" w:rsidRDefault="000A0F0B" w:rsidP="007F6FF1">
            <w:r w:rsidRPr="00390B09">
              <w:t>Ongoing</w:t>
            </w:r>
          </w:p>
        </w:tc>
        <w:tc>
          <w:tcPr>
            <w:tcW w:w="2193" w:type="dxa"/>
          </w:tcPr>
          <w:p w14:paraId="75988BB5" w14:textId="4DDD187F" w:rsidR="000A0F0B" w:rsidRDefault="000A0F0B" w:rsidP="007F6FF1">
            <w:r w:rsidRPr="00390B09">
              <w:t>Opportunity of two placements per annum for persons with disability.</w:t>
            </w:r>
          </w:p>
        </w:tc>
      </w:tr>
      <w:tr w:rsidR="000A0F0B" w14:paraId="59E2593A" w14:textId="77777777" w:rsidTr="000A0F0B">
        <w:trPr>
          <w:cantSplit/>
        </w:trPr>
        <w:tc>
          <w:tcPr>
            <w:tcW w:w="935" w:type="dxa"/>
          </w:tcPr>
          <w:p w14:paraId="22037165" w14:textId="0C165FEB" w:rsidR="000A0F0B" w:rsidRDefault="000A0F0B" w:rsidP="007F6FF1">
            <w:r>
              <w:lastRenderedPageBreak/>
              <w:t>1</w:t>
            </w:r>
            <w:r w:rsidR="00255B47">
              <w:t>2</w:t>
            </w:r>
            <w:r>
              <w:t>.3</w:t>
            </w:r>
          </w:p>
        </w:tc>
        <w:tc>
          <w:tcPr>
            <w:tcW w:w="2647" w:type="dxa"/>
          </w:tcPr>
          <w:p w14:paraId="792206D4" w14:textId="4D9A7F8E" w:rsidR="000A0F0B" w:rsidRDefault="000A0F0B" w:rsidP="007F6FF1">
            <w:r w:rsidRPr="00390B09">
              <w:rPr>
                <w:rFonts w:eastAsia="Arial"/>
              </w:rPr>
              <w:t xml:space="preserve">We will support and promote implementation of the Office of the Commissioner for Public Sector Employment’s </w:t>
            </w:r>
            <w:r w:rsidRPr="00390B09">
              <w:rPr>
                <w:rFonts w:eastAsia="Arial"/>
                <w:i/>
                <w:iCs/>
              </w:rPr>
              <w:t xml:space="preserve">Public Sector Employment Strategy </w:t>
            </w:r>
            <w:r w:rsidRPr="00390B09">
              <w:rPr>
                <w:rFonts w:eastAsia="Arial"/>
              </w:rPr>
              <w:t xml:space="preserve">across the public sector to support the implementation of </w:t>
            </w:r>
            <w:r w:rsidRPr="00390B09">
              <w:rPr>
                <w:rFonts w:eastAsia="Arial"/>
                <w:b/>
                <w:bCs/>
              </w:rPr>
              <w:t>action 3</w:t>
            </w:r>
            <w:r w:rsidR="00941AAB">
              <w:rPr>
                <w:rFonts w:eastAsia="Arial"/>
                <w:b/>
                <w:bCs/>
              </w:rPr>
              <w:t>7</w:t>
            </w:r>
            <w:r w:rsidRPr="00390B09">
              <w:rPr>
                <w:rFonts w:eastAsia="Arial"/>
                <w:b/>
                <w:bCs/>
              </w:rPr>
              <w:t xml:space="preserve"> of Inclusive SA.</w:t>
            </w:r>
          </w:p>
        </w:tc>
        <w:tc>
          <w:tcPr>
            <w:tcW w:w="1975" w:type="dxa"/>
          </w:tcPr>
          <w:p w14:paraId="296CFCBC" w14:textId="13B877B1" w:rsidR="000A0F0B" w:rsidRDefault="000A0F0B" w:rsidP="007F6FF1">
            <w:r w:rsidRPr="00390B09">
              <w:rPr>
                <w:rFonts w:eastAsia="Arial"/>
              </w:rPr>
              <w:t xml:space="preserve">People, Strategy and System Services </w:t>
            </w:r>
          </w:p>
        </w:tc>
        <w:tc>
          <w:tcPr>
            <w:tcW w:w="1782" w:type="dxa"/>
          </w:tcPr>
          <w:p w14:paraId="55288CBD" w14:textId="7574DA7C" w:rsidR="000A0F0B" w:rsidRDefault="000A0F0B" w:rsidP="007F6FF1">
            <w:r w:rsidRPr="00390B09">
              <w:t>Ongoing (annual reviews)</w:t>
            </w:r>
            <w:r>
              <w:t xml:space="preserve"> and </w:t>
            </w:r>
            <w:r w:rsidRPr="00390B09">
              <w:t>September 2020</w:t>
            </w:r>
          </w:p>
        </w:tc>
        <w:tc>
          <w:tcPr>
            <w:tcW w:w="2193" w:type="dxa"/>
          </w:tcPr>
          <w:p w14:paraId="3D87FA68" w14:textId="4D75CA26" w:rsidR="000A0F0B" w:rsidRPr="00390B09" w:rsidRDefault="000A0F0B" w:rsidP="007F6FF1">
            <w:r w:rsidRPr="00390B09">
              <w:t>In line with the SA Public Sector Disability Employment Plan 2019</w:t>
            </w:r>
            <w:r>
              <w:t>–</w:t>
            </w:r>
            <w:r w:rsidRPr="00390B09">
              <w:t xml:space="preserve">2021, disability employment targets are developed and implemented to increase </w:t>
            </w:r>
            <w:r>
              <w:t xml:space="preserve">the </w:t>
            </w:r>
            <w:r w:rsidRPr="00390B09">
              <w:t xml:space="preserve">number of </w:t>
            </w:r>
            <w:r>
              <w:t xml:space="preserve">our </w:t>
            </w:r>
            <w:r w:rsidRPr="00390B09">
              <w:t>employees with disability and address barriers to disclosing disability in recruitment.</w:t>
            </w:r>
          </w:p>
          <w:p w14:paraId="249E455E" w14:textId="741FA1BD" w:rsidR="000A0F0B" w:rsidRPr="00390B09" w:rsidRDefault="000A0F0B" w:rsidP="007F6FF1">
            <w:r w:rsidRPr="00390B09">
              <w:t xml:space="preserve">Our Diversity </w:t>
            </w:r>
            <w:r>
              <w:t>and</w:t>
            </w:r>
            <w:r w:rsidRPr="00390B09">
              <w:t xml:space="preserve"> Inclusion Strategy</w:t>
            </w:r>
            <w:r>
              <w:t>,</w:t>
            </w:r>
            <w:r w:rsidRPr="00390B09">
              <w:t xml:space="preserve"> and associated action plans</w:t>
            </w:r>
            <w:r>
              <w:t>,</w:t>
            </w:r>
            <w:r w:rsidRPr="00390B09">
              <w:t xml:space="preserve"> are reviewed, and an updated strategy relaunched. </w:t>
            </w:r>
          </w:p>
          <w:p w14:paraId="66D7FBF7" w14:textId="77777777" w:rsidR="000A0F0B" w:rsidRPr="00390B09" w:rsidRDefault="000A0F0B" w:rsidP="007F6FF1">
            <w:r w:rsidRPr="00390B09">
              <w:t xml:space="preserve">A reference group has been formed to support action plans. </w:t>
            </w:r>
          </w:p>
          <w:p w14:paraId="0FAC23B4" w14:textId="06EA2440" w:rsidR="000A0F0B" w:rsidRDefault="000A0F0B" w:rsidP="007F6FF1">
            <w:r w:rsidRPr="00390B09">
              <w:t xml:space="preserve">Disability Leave (reflected in the Special Leave with Pay provisions) is reviewed and continued. </w:t>
            </w:r>
          </w:p>
        </w:tc>
      </w:tr>
      <w:tr w:rsidR="000A0F0B" w14:paraId="19499D35" w14:textId="77777777" w:rsidTr="000A0F0B">
        <w:trPr>
          <w:cantSplit/>
        </w:trPr>
        <w:tc>
          <w:tcPr>
            <w:tcW w:w="935" w:type="dxa"/>
          </w:tcPr>
          <w:p w14:paraId="185E413A" w14:textId="5850804E" w:rsidR="000A0F0B" w:rsidRDefault="000A0F0B" w:rsidP="007F6FF1">
            <w:r>
              <w:t>1</w:t>
            </w:r>
            <w:r w:rsidR="00255B47">
              <w:t>2</w:t>
            </w:r>
            <w:r>
              <w:t>.</w:t>
            </w:r>
            <w:r w:rsidR="00CD35B7">
              <w:t>4</w:t>
            </w:r>
          </w:p>
        </w:tc>
        <w:tc>
          <w:tcPr>
            <w:tcW w:w="2647" w:type="dxa"/>
          </w:tcPr>
          <w:p w14:paraId="72F90849" w14:textId="0D1742B4" w:rsidR="000A0F0B" w:rsidRDefault="000A0F0B" w:rsidP="007F6FF1">
            <w:pPr>
              <w:rPr>
                <w:rStyle w:val="normaltextrun1"/>
                <w:rFonts w:ascii="Arial Nova" w:hAnsi="Arial Nova" w:cstheme="minorHAnsi"/>
                <w:sz w:val="20"/>
                <w:szCs w:val="20"/>
                <w:lang w:val="en-US"/>
              </w:rPr>
            </w:pPr>
            <w:r w:rsidRPr="000A0F0B">
              <w:t xml:space="preserve">We will develop data measures to track the percentage of people living with disability employed and retained in State authorities in line with </w:t>
            </w:r>
            <w:r w:rsidRPr="000A0F0B">
              <w:rPr>
                <w:b/>
                <w:bCs/>
              </w:rPr>
              <w:t>action 39 of Inclusive SA</w:t>
            </w:r>
          </w:p>
        </w:tc>
        <w:tc>
          <w:tcPr>
            <w:tcW w:w="1975" w:type="dxa"/>
          </w:tcPr>
          <w:p w14:paraId="56BFDDE4" w14:textId="18B03872" w:rsidR="000A0F0B" w:rsidRDefault="000A0F0B" w:rsidP="007F6FF1">
            <w:pPr>
              <w:rPr>
                <w:rFonts w:eastAsia="Arial"/>
              </w:rPr>
            </w:pPr>
            <w:r w:rsidRPr="000A0F0B">
              <w:t>Disability Access and Inclusion</w:t>
            </w:r>
          </w:p>
        </w:tc>
        <w:tc>
          <w:tcPr>
            <w:tcW w:w="1782" w:type="dxa"/>
          </w:tcPr>
          <w:p w14:paraId="19B059F5" w14:textId="3B72228A" w:rsidR="000A0F0B" w:rsidRDefault="000A0F0B" w:rsidP="007F6FF1">
            <w:r w:rsidRPr="000A0F0B">
              <w:t>June 2023</w:t>
            </w:r>
          </w:p>
        </w:tc>
        <w:tc>
          <w:tcPr>
            <w:tcW w:w="2193" w:type="dxa"/>
          </w:tcPr>
          <w:p w14:paraId="1D77D596" w14:textId="5B03A85F" w:rsidR="000A0F0B" w:rsidRDefault="000A0F0B" w:rsidP="007F6FF1">
            <w:r w:rsidRPr="000A0F0B">
              <w:t xml:space="preserve">Development of the </w:t>
            </w:r>
            <w:r w:rsidR="00963A06">
              <w:t>test</w:t>
            </w:r>
            <w:r w:rsidRPr="000A0F0B">
              <w:t xml:space="preserve"> case for the NDDA will capture the percentages of employment</w:t>
            </w:r>
            <w:r w:rsidR="00AC63BE">
              <w:t>.</w:t>
            </w:r>
            <w:r w:rsidRPr="000A0F0B">
              <w:t xml:space="preserve"> </w:t>
            </w:r>
          </w:p>
        </w:tc>
      </w:tr>
    </w:tbl>
    <w:p w14:paraId="05B92AA1" w14:textId="77777777" w:rsidR="00DD6558" w:rsidRDefault="00DD6558" w:rsidP="007F6FF1"/>
    <w:p w14:paraId="4127D721" w14:textId="77777777" w:rsidR="00E078E8" w:rsidRPr="00FA523E" w:rsidRDefault="00E078E8" w:rsidP="007F6FF1">
      <w:pPr>
        <w:rPr>
          <w:rFonts w:eastAsia="Arial"/>
        </w:rPr>
      </w:pPr>
    </w:p>
    <w:p w14:paraId="4FCE494C" w14:textId="53496155" w:rsidR="00E078E8" w:rsidRDefault="00E078E8" w:rsidP="007F6FF1">
      <w:pPr>
        <w:sectPr w:rsidR="00E078E8" w:rsidSect="00383AA1">
          <w:footerReference w:type="default" r:id="rId11"/>
          <w:pgSz w:w="11906" w:h="16838"/>
          <w:pgMar w:top="1134" w:right="851" w:bottom="1134" w:left="851" w:header="709" w:footer="709" w:gutter="0"/>
          <w:cols w:space="708"/>
          <w:docGrid w:linePitch="360"/>
        </w:sectPr>
      </w:pPr>
    </w:p>
    <w:p w14:paraId="6FE2BC50" w14:textId="7679529C" w:rsidR="00345936" w:rsidRDefault="00B22861" w:rsidP="00DE3A93">
      <w:pPr>
        <w:pStyle w:val="Heading2"/>
      </w:pPr>
      <w:bookmarkStart w:id="27" w:name="_Toc53041874"/>
      <w:r>
        <w:lastRenderedPageBreak/>
        <w:t>Acknowledgments</w:t>
      </w:r>
      <w:bookmarkEnd w:id="27"/>
      <w:r>
        <w:t xml:space="preserve"> </w:t>
      </w:r>
    </w:p>
    <w:p w14:paraId="67C3A980" w14:textId="4FEA9241" w:rsidR="003C4FAC" w:rsidRDefault="00B22861" w:rsidP="007F6FF1">
      <w:r w:rsidRPr="001F1D45">
        <w:t xml:space="preserve">DHS would like to thank </w:t>
      </w:r>
      <w:r w:rsidR="003C4FAC">
        <w:t xml:space="preserve">everyone who has contributed to the development of </w:t>
      </w:r>
      <w:r w:rsidR="00557AD7">
        <w:t>our</w:t>
      </w:r>
      <w:r w:rsidR="003C4FAC">
        <w:t xml:space="preserve"> DAIP</w:t>
      </w:r>
      <w:r w:rsidR="000119E4">
        <w:t>,</w:t>
      </w:r>
      <w:r w:rsidR="003C4FAC">
        <w:t xml:space="preserve"> </w:t>
      </w:r>
      <w:r w:rsidR="00557AD7">
        <w:t>i</w:t>
      </w:r>
      <w:r w:rsidR="003C4FAC">
        <w:t xml:space="preserve">n particular the </w:t>
      </w:r>
      <w:r w:rsidR="007C49AC">
        <w:t>groups and individuals</w:t>
      </w:r>
      <w:r w:rsidR="003C4FAC">
        <w:t xml:space="preserve"> who provided feedbac</w:t>
      </w:r>
      <w:r w:rsidR="007C49AC">
        <w:t>k on our DAIP actions and on our</w:t>
      </w:r>
      <w:r w:rsidR="003C4FAC">
        <w:t xml:space="preserve"> department</w:t>
      </w:r>
      <w:r w:rsidR="007C49AC">
        <w:t>’</w:t>
      </w:r>
      <w:r w:rsidR="003C4FAC">
        <w:t xml:space="preserve">s services during the public </w:t>
      </w:r>
      <w:r w:rsidR="007C49AC">
        <w:t>cons</w:t>
      </w:r>
      <w:r w:rsidR="00557AD7">
        <w:t>ulta</w:t>
      </w:r>
      <w:r w:rsidR="007C49AC">
        <w:t>tion</w:t>
      </w:r>
      <w:r w:rsidR="003C4FAC">
        <w:t>.</w:t>
      </w:r>
    </w:p>
    <w:p w14:paraId="713AB23D" w14:textId="0794633E" w:rsidR="00557AD7" w:rsidRPr="00671ABC" w:rsidRDefault="0049571E" w:rsidP="007F6FF1">
      <w:pPr>
        <w:rPr>
          <w:bCs/>
        </w:rPr>
      </w:pPr>
      <w:r w:rsidRPr="0049571E">
        <w:t xml:space="preserve">Ongoing feedback is important to help us reflect and </w:t>
      </w:r>
      <w:r w:rsidR="00557AD7">
        <w:t xml:space="preserve">continue to </w:t>
      </w:r>
      <w:r w:rsidRPr="0049571E">
        <w:t>improve</w:t>
      </w:r>
      <w:r w:rsidR="00557AD7">
        <w:t xml:space="preserve"> the DAIP</w:t>
      </w:r>
      <w:r w:rsidRPr="0049571E">
        <w:t xml:space="preserve">. You </w:t>
      </w:r>
      <w:r w:rsidR="007C49AC">
        <w:t>can let us know what you think</w:t>
      </w:r>
      <w:r w:rsidR="00557AD7">
        <w:t xml:space="preserve"> by contacting </w:t>
      </w:r>
      <w:r w:rsidR="00557AD7" w:rsidRPr="00671ABC">
        <w:rPr>
          <w:bCs/>
        </w:rPr>
        <w:t>The Disability Access and Inclusion Team, Department of Human Services</w:t>
      </w:r>
      <w:r w:rsidR="00671ABC">
        <w:rPr>
          <w:bCs/>
        </w:rPr>
        <w:t>.</w:t>
      </w:r>
    </w:p>
    <w:p w14:paraId="0852C247" w14:textId="0AE4CBB1" w:rsidR="00671ABC" w:rsidRDefault="00671ABC" w:rsidP="007F6FF1">
      <w:r>
        <w:t xml:space="preserve">Phone </w:t>
      </w:r>
      <w:hyperlink r:id="rId12" w:history="1">
        <w:r w:rsidRPr="00671ABC">
          <w:rPr>
            <w:rStyle w:val="Hyperlink"/>
          </w:rPr>
          <w:t>(08) 8415 4383</w:t>
        </w:r>
      </w:hyperlink>
    </w:p>
    <w:p w14:paraId="218FE24F" w14:textId="0BF17087" w:rsidR="0049571E" w:rsidRPr="00390B09" w:rsidRDefault="00671ABC" w:rsidP="007F6FF1">
      <w:r>
        <w:t>E</w:t>
      </w:r>
      <w:r w:rsidR="0049571E" w:rsidRPr="00390B09">
        <w:t xml:space="preserve">mail </w:t>
      </w:r>
      <w:hyperlink r:id="rId13" w:history="1">
        <w:r w:rsidRPr="00EE3AA3">
          <w:rPr>
            <w:rStyle w:val="Hyperlink"/>
          </w:rPr>
          <w:t>dhsdisabilityinclusion@sa.gov.au</w:t>
        </w:r>
      </w:hyperlink>
      <w:r>
        <w:t xml:space="preserve"> </w:t>
      </w:r>
    </w:p>
    <w:p w14:paraId="62F62137" w14:textId="13BDC5B3" w:rsidR="0049571E" w:rsidRPr="00390B09" w:rsidRDefault="00671ABC" w:rsidP="007F6FF1">
      <w:r>
        <w:t>W</w:t>
      </w:r>
      <w:r w:rsidR="0049571E" w:rsidRPr="00390B09">
        <w:t>rit</w:t>
      </w:r>
      <w:r>
        <w:t>e</w:t>
      </w:r>
      <w:r w:rsidR="0049571E" w:rsidRPr="00390B09">
        <w:t xml:space="preserve"> to </w:t>
      </w:r>
      <w:r w:rsidR="004D0F81" w:rsidRPr="004D0F81">
        <w:t>Disability Access and Inclusion</w:t>
      </w:r>
      <w:r w:rsidR="0049571E" w:rsidRPr="00390B09">
        <w:t>, Department of Human Services, Riverside Centre, GPO Box 292, Adelaide, SA 5001</w:t>
      </w:r>
      <w:r>
        <w:t>.</w:t>
      </w:r>
    </w:p>
    <w:p w14:paraId="207E12EA" w14:textId="77777777" w:rsidR="00345936" w:rsidRPr="00390B09" w:rsidRDefault="00345936" w:rsidP="00DE3A93">
      <w:pPr>
        <w:pStyle w:val="Heading2"/>
      </w:pPr>
      <w:bookmarkStart w:id="28" w:name="_Toc53041875"/>
      <w:r w:rsidRPr="00390B09">
        <w:t>Communicating the DAIP</w:t>
      </w:r>
      <w:bookmarkEnd w:id="28"/>
    </w:p>
    <w:p w14:paraId="694E3F44" w14:textId="77777777" w:rsidR="00671ABC" w:rsidRDefault="00345936" w:rsidP="007F6FF1">
      <w:r w:rsidRPr="00FA523E">
        <w:t>Our DAIP will be available to our employees, contractors and agents, and the South Australian community.</w:t>
      </w:r>
    </w:p>
    <w:p w14:paraId="1FA85C46" w14:textId="200F50B8" w:rsidR="00345936" w:rsidRPr="00FA523E" w:rsidRDefault="00345936" w:rsidP="007F6FF1">
      <w:r w:rsidRPr="00FA523E">
        <w:t>It will be</w:t>
      </w:r>
      <w:r w:rsidR="00671ABC">
        <w:t xml:space="preserve"> </w:t>
      </w:r>
      <w:r w:rsidRPr="00FA523E">
        <w:t xml:space="preserve">promoted on </w:t>
      </w:r>
      <w:r>
        <w:t>the</w:t>
      </w:r>
      <w:r w:rsidR="00671ABC">
        <w:t xml:space="preserve"> </w:t>
      </w:r>
      <w:r>
        <w:t xml:space="preserve">department’s website, including in </w:t>
      </w:r>
      <w:r w:rsidR="00122E9D">
        <w:t>easy read</w:t>
      </w:r>
      <w:r>
        <w:t xml:space="preserve"> format, </w:t>
      </w:r>
      <w:r w:rsidRPr="00FA523E">
        <w:t xml:space="preserve">and can be made available in </w:t>
      </w:r>
      <w:r>
        <w:t>other</w:t>
      </w:r>
      <w:r w:rsidRPr="00FA523E">
        <w:t xml:space="preserve"> accessible formats and languages</w:t>
      </w:r>
      <w:r>
        <w:t xml:space="preserve"> upon request</w:t>
      </w:r>
      <w:r w:rsidRPr="00FA523E">
        <w:t xml:space="preserve">. </w:t>
      </w:r>
    </w:p>
    <w:p w14:paraId="28B96051" w14:textId="55B04AA1" w:rsidR="000F67B2" w:rsidRPr="00390B09" w:rsidRDefault="000F67B2" w:rsidP="00DE3A93">
      <w:pPr>
        <w:pStyle w:val="Heading2"/>
      </w:pPr>
      <w:bookmarkStart w:id="29" w:name="_Toc53041876"/>
      <w:r w:rsidRPr="00390B09">
        <w:t>Monitoring</w:t>
      </w:r>
      <w:r w:rsidR="00876D75" w:rsidRPr="00390B09">
        <w:t xml:space="preserve"> and Review</w:t>
      </w:r>
      <w:bookmarkEnd w:id="29"/>
    </w:p>
    <w:p w14:paraId="43BF4312" w14:textId="7F3B1D33" w:rsidR="000F67B2" w:rsidRDefault="00F209DF" w:rsidP="007F6FF1">
      <w:r>
        <w:t xml:space="preserve">We will form an internal </w:t>
      </w:r>
      <w:r w:rsidR="00E13B54">
        <w:t xml:space="preserve">DAIP </w:t>
      </w:r>
      <w:r>
        <w:t xml:space="preserve">working group to monitor </w:t>
      </w:r>
      <w:r w:rsidR="00E13B54">
        <w:t xml:space="preserve">the </w:t>
      </w:r>
      <w:r>
        <w:t xml:space="preserve">implementation of our DAIP and </w:t>
      </w:r>
      <w:r w:rsidR="00384E1C">
        <w:t xml:space="preserve">regularly </w:t>
      </w:r>
      <w:r w:rsidR="00F96C45">
        <w:t xml:space="preserve">review it </w:t>
      </w:r>
      <w:r w:rsidR="00384E1C">
        <w:t>to ensure</w:t>
      </w:r>
      <w:r w:rsidR="00F96C45">
        <w:t xml:space="preserve"> it remains relevant to the work we do and the broader needs and interests of people with disability.</w:t>
      </w:r>
    </w:p>
    <w:p w14:paraId="3CF6CA51" w14:textId="3556E972" w:rsidR="00384E1C" w:rsidRDefault="00384E1C" w:rsidP="007F6FF1">
      <w:pPr>
        <w:rPr>
          <w:highlight w:val="yellow"/>
        </w:rPr>
      </w:pPr>
      <w:r>
        <w:t xml:space="preserve">The DHS </w:t>
      </w:r>
      <w:r w:rsidRPr="00FA523E">
        <w:t xml:space="preserve">Chief Executive will receive a report on the progress of </w:t>
      </w:r>
      <w:r>
        <w:t>the</w:t>
      </w:r>
      <w:r w:rsidRPr="00FA523E">
        <w:t xml:space="preserve"> DAIP by 31 October each year. </w:t>
      </w:r>
      <w:r>
        <w:t xml:space="preserve">We will also include information about the progress we make in our Annual Report. </w:t>
      </w:r>
    </w:p>
    <w:p w14:paraId="12111B8D" w14:textId="76CD5953" w:rsidR="00204845" w:rsidRDefault="00384E1C" w:rsidP="007F6FF1">
      <w:r w:rsidRPr="00941797">
        <w:t>The DAIP will be formally reviewed in 2021 to align with the planned review of</w:t>
      </w:r>
      <w:r w:rsidR="009F780A" w:rsidRPr="00941797">
        <w:t xml:space="preserve"> </w:t>
      </w:r>
      <w:r w:rsidR="00050127" w:rsidRPr="00941797">
        <w:t>Inclusive SA</w:t>
      </w:r>
      <w:r w:rsidRPr="00941797">
        <w:t xml:space="preserve">. The State Plan requires review in 2021 to correspond with the </w:t>
      </w:r>
      <w:r w:rsidR="009F780A" w:rsidRPr="00941797">
        <w:t xml:space="preserve">National </w:t>
      </w:r>
      <w:r w:rsidR="00050127" w:rsidRPr="00941797">
        <w:t>D</w:t>
      </w:r>
      <w:r w:rsidR="009F780A" w:rsidRPr="00941797">
        <w:t xml:space="preserve">isability </w:t>
      </w:r>
      <w:r w:rsidR="00050127" w:rsidRPr="00941797">
        <w:t>S</w:t>
      </w:r>
      <w:r w:rsidR="009F780A" w:rsidRPr="00941797">
        <w:t>trategy</w:t>
      </w:r>
      <w:r w:rsidRPr="00941797">
        <w:t xml:space="preserve"> review.</w:t>
      </w:r>
      <w:r w:rsidR="004F1AD2" w:rsidRPr="00FA523E">
        <w:t xml:space="preserve"> </w:t>
      </w:r>
    </w:p>
    <w:p w14:paraId="62E503C6" w14:textId="6CE861D1" w:rsidR="00941797" w:rsidRDefault="00941797" w:rsidP="007F6FF1">
      <w:r>
        <w:br w:type="page"/>
      </w:r>
    </w:p>
    <w:p w14:paraId="2E8AFCA1" w14:textId="77D06E64" w:rsidR="00A878F8" w:rsidRPr="001839B3" w:rsidRDefault="004031A5" w:rsidP="00DE3A93">
      <w:pPr>
        <w:pStyle w:val="Heading2"/>
      </w:pPr>
      <w:bookmarkStart w:id="30" w:name="_Toc53041877"/>
      <w:r w:rsidRPr="004031A5">
        <w:lastRenderedPageBreak/>
        <w:t>Glossary</w:t>
      </w:r>
      <w:bookmarkEnd w:id="30"/>
      <w:r w:rsidRPr="004031A5">
        <w:t xml:space="preserve"> </w:t>
      </w:r>
    </w:p>
    <w:p w14:paraId="62111DAE" w14:textId="77777777" w:rsidR="00F128CB" w:rsidRDefault="00F128CB" w:rsidP="00DE3A93">
      <w:pPr>
        <w:pStyle w:val="Heading3"/>
      </w:pPr>
      <w:bookmarkStart w:id="31" w:name="_Toc52542465"/>
      <w:bookmarkStart w:id="32" w:name="_Toc53041878"/>
      <w:r>
        <w:t>Accessible Formats</w:t>
      </w:r>
      <w:bookmarkEnd w:id="31"/>
      <w:bookmarkEnd w:id="32"/>
    </w:p>
    <w:p w14:paraId="45AC93A6" w14:textId="77777777" w:rsidR="00F128CB" w:rsidRDefault="00F128CB" w:rsidP="007F6FF1">
      <w:pPr>
        <w:rPr>
          <w:lang w:val="en-US"/>
        </w:rPr>
      </w:pPr>
      <w:r w:rsidRPr="00971624">
        <w:rPr>
          <w:lang w:val="en-US"/>
        </w:rPr>
        <w:t>Accessible format is the term used to describe alternative communication formats for people who have difficulties accessing information. Sometimes the term ‘alternative formats’ is used.</w:t>
      </w:r>
    </w:p>
    <w:p w14:paraId="1E18C50F" w14:textId="77777777" w:rsidR="00F128CB" w:rsidRDefault="00F128CB" w:rsidP="00DE3A93">
      <w:pPr>
        <w:pStyle w:val="Heading3"/>
      </w:pPr>
      <w:bookmarkStart w:id="33" w:name="_Toc52542466"/>
      <w:bookmarkStart w:id="34" w:name="_Toc53041879"/>
      <w:r>
        <w:t>Auslan</w:t>
      </w:r>
      <w:bookmarkEnd w:id="33"/>
      <w:bookmarkEnd w:id="34"/>
    </w:p>
    <w:p w14:paraId="374C90E4" w14:textId="77777777" w:rsidR="00F128CB" w:rsidRDefault="00F128CB" w:rsidP="007F6FF1">
      <w:pPr>
        <w:rPr>
          <w:lang w:val="en-US"/>
        </w:rPr>
      </w:pPr>
      <w:r w:rsidRPr="003E3E55">
        <w:rPr>
          <w:lang w:val="en-US"/>
        </w:rPr>
        <w:t xml:space="preserve">Australian Sign Language (AUSLAN) is the sign language of people in the Australian Deaf community. </w:t>
      </w:r>
    </w:p>
    <w:p w14:paraId="1917DEDB" w14:textId="77777777" w:rsidR="00F128CB" w:rsidRPr="00F32950" w:rsidRDefault="00F128CB" w:rsidP="00DE3A93">
      <w:pPr>
        <w:pStyle w:val="Heading3"/>
      </w:pPr>
      <w:bookmarkStart w:id="35" w:name="_Toc52542467"/>
      <w:bookmarkStart w:id="36" w:name="_Toc53041880"/>
      <w:r w:rsidRPr="00F32950">
        <w:t>Built environment</w:t>
      </w:r>
      <w:bookmarkEnd w:id="35"/>
      <w:bookmarkEnd w:id="36"/>
    </w:p>
    <w:p w14:paraId="43CD3886" w14:textId="04ED7CA3" w:rsidR="00F128CB" w:rsidRDefault="00F94537" w:rsidP="007F6FF1">
      <w:pPr>
        <w:rPr>
          <w:lang w:val="en-US"/>
        </w:rPr>
      </w:pPr>
      <w:r>
        <w:rPr>
          <w:lang w:val="en-US"/>
        </w:rPr>
        <w:t>Human-made</w:t>
      </w:r>
      <w:r w:rsidR="00F128CB">
        <w:rPr>
          <w:lang w:val="en-US"/>
        </w:rPr>
        <w:t xml:space="preserve"> structures, features and facilities viewed collectively as an environment in which people live and work.</w:t>
      </w:r>
    </w:p>
    <w:p w14:paraId="44BE5DDC" w14:textId="5A9AE1AE" w:rsidR="00A878F8" w:rsidRPr="005D7D68" w:rsidRDefault="00A878F8" w:rsidP="00DE3A93">
      <w:pPr>
        <w:pStyle w:val="Heading3"/>
      </w:pPr>
      <w:bookmarkStart w:id="37" w:name="_Toc52542468"/>
      <w:bookmarkStart w:id="38" w:name="_Toc53041881"/>
      <w:r w:rsidRPr="005D7D68">
        <w:t>Co-design</w:t>
      </w:r>
      <w:bookmarkEnd w:id="37"/>
      <w:bookmarkEnd w:id="38"/>
    </w:p>
    <w:p w14:paraId="5623A2DA" w14:textId="2B1A38C9" w:rsidR="00A878F8" w:rsidRDefault="00A878F8" w:rsidP="007F6FF1">
      <w:pPr>
        <w:rPr>
          <w:lang w:val="en-US"/>
        </w:rPr>
      </w:pPr>
      <w:r w:rsidRPr="005D7D68">
        <w:rPr>
          <w:lang w:val="en-US"/>
        </w:rPr>
        <w:t>A range of activities and processes used in the design of services and products that involve people who use or are affected by that service or product.</w:t>
      </w:r>
    </w:p>
    <w:p w14:paraId="65129EE1" w14:textId="77777777" w:rsidR="00F128CB" w:rsidRPr="005B160F" w:rsidRDefault="00F128CB" w:rsidP="00DE3A93">
      <w:pPr>
        <w:pStyle w:val="Heading3"/>
      </w:pPr>
      <w:bookmarkStart w:id="39" w:name="_Toc52542469"/>
      <w:bookmarkStart w:id="40" w:name="_Toc53041882"/>
      <w:r w:rsidRPr="005B160F">
        <w:t>Commonwealth</w:t>
      </w:r>
      <w:bookmarkEnd w:id="39"/>
      <w:bookmarkEnd w:id="40"/>
    </w:p>
    <w:p w14:paraId="166614BA" w14:textId="77777777" w:rsidR="00F128CB" w:rsidRDefault="00F128CB" w:rsidP="007F6FF1">
      <w:pPr>
        <w:rPr>
          <w:lang w:val="en-US"/>
        </w:rPr>
      </w:pPr>
      <w:r>
        <w:rPr>
          <w:lang w:val="en-US"/>
        </w:rPr>
        <w:t>The government of the Commonwealth of Australia – commonly referred to as the Australian Government of the Federal Government.</w:t>
      </w:r>
    </w:p>
    <w:p w14:paraId="42FA6D7A" w14:textId="77777777" w:rsidR="00F128CB" w:rsidRPr="00F32950" w:rsidRDefault="00F128CB" w:rsidP="00DE3A93">
      <w:pPr>
        <w:pStyle w:val="Heading3"/>
      </w:pPr>
      <w:bookmarkStart w:id="41" w:name="_Toc52542470"/>
      <w:bookmarkStart w:id="42" w:name="_Toc53041883"/>
      <w:r w:rsidRPr="00F32950">
        <w:t>Data Indicators</w:t>
      </w:r>
      <w:bookmarkEnd w:id="41"/>
      <w:bookmarkEnd w:id="42"/>
    </w:p>
    <w:p w14:paraId="1C46BF82" w14:textId="77777777" w:rsidR="00F128CB" w:rsidRDefault="00F128CB" w:rsidP="007F6FF1">
      <w:pPr>
        <w:rPr>
          <w:lang w:val="en-US"/>
        </w:rPr>
      </w:pPr>
      <w:r>
        <w:rPr>
          <w:lang w:val="en-US"/>
        </w:rPr>
        <w:t>A specific, observable and measurable set of information that can be used to show changes and progress being made toward achieving a specific outcome.</w:t>
      </w:r>
    </w:p>
    <w:p w14:paraId="2E15C2BA" w14:textId="77777777" w:rsidR="00F128CB" w:rsidRPr="005B160F" w:rsidRDefault="00F128CB" w:rsidP="00DE3A93">
      <w:pPr>
        <w:pStyle w:val="Heading3"/>
      </w:pPr>
      <w:bookmarkStart w:id="43" w:name="_Toc52542471"/>
      <w:bookmarkStart w:id="44" w:name="_Toc53041884"/>
      <w:r w:rsidRPr="005B160F">
        <w:t>DHS</w:t>
      </w:r>
      <w:bookmarkEnd w:id="43"/>
      <w:bookmarkEnd w:id="44"/>
    </w:p>
    <w:p w14:paraId="13DC172A" w14:textId="4B386618" w:rsidR="00F128CB" w:rsidRDefault="00F128CB" w:rsidP="007F6FF1">
      <w:pPr>
        <w:rPr>
          <w:lang w:val="en-US"/>
        </w:rPr>
      </w:pPr>
      <w:r>
        <w:rPr>
          <w:lang w:val="en-US"/>
        </w:rPr>
        <w:t>The South Australian Department of Human Services</w:t>
      </w:r>
      <w:r w:rsidR="00B914A6">
        <w:rPr>
          <w:lang w:val="en-US"/>
        </w:rPr>
        <w:t>.</w:t>
      </w:r>
    </w:p>
    <w:p w14:paraId="28013BCE" w14:textId="339064A7" w:rsidR="001839B3" w:rsidRPr="001839B3" w:rsidRDefault="001839B3" w:rsidP="00DE3A93">
      <w:pPr>
        <w:pStyle w:val="Heading3"/>
      </w:pPr>
      <w:bookmarkStart w:id="45" w:name="_Toc52542472"/>
      <w:bookmarkStart w:id="46" w:name="_Toc53041885"/>
      <w:r w:rsidRPr="001839B3">
        <w:t>Disability Engagement Group</w:t>
      </w:r>
      <w:bookmarkEnd w:id="45"/>
      <w:bookmarkEnd w:id="46"/>
      <w:r w:rsidRPr="001839B3">
        <w:t xml:space="preserve"> </w:t>
      </w:r>
    </w:p>
    <w:p w14:paraId="01D121C4" w14:textId="33A071D3" w:rsidR="001839B3" w:rsidRDefault="005B4E6C" w:rsidP="007F6FF1">
      <w:pPr>
        <w:rPr>
          <w:lang w:val="en-US"/>
        </w:rPr>
      </w:pPr>
      <w:r>
        <w:rPr>
          <w:lang w:val="en-US"/>
        </w:rPr>
        <w:t>A group of people who have nominated themselves to provide feedback on issues that are important to people living with disability in South Australia. The group is made up of people living with disability and their families and carers, and members of the community interested in disability matters.</w:t>
      </w:r>
    </w:p>
    <w:p w14:paraId="16CF507B" w14:textId="77777777" w:rsidR="00F128CB" w:rsidRPr="00BC69D5" w:rsidRDefault="00F128CB" w:rsidP="00DE3A93">
      <w:pPr>
        <w:pStyle w:val="Heading3"/>
      </w:pPr>
      <w:bookmarkStart w:id="47" w:name="_Toc52542473"/>
      <w:bookmarkStart w:id="48" w:name="_Toc53041886"/>
      <w:r w:rsidRPr="00BC69D5">
        <w:lastRenderedPageBreak/>
        <w:t>Easy Read</w:t>
      </w:r>
      <w:bookmarkEnd w:id="47"/>
      <w:bookmarkEnd w:id="48"/>
    </w:p>
    <w:p w14:paraId="2A4F3B74" w14:textId="77777777" w:rsidR="00F128CB" w:rsidRPr="00971624" w:rsidRDefault="00F128CB" w:rsidP="007F6FF1">
      <w:pPr>
        <w:rPr>
          <w:lang w:val="en-US"/>
        </w:rPr>
      </w:pPr>
      <w:r w:rsidRPr="00971624">
        <w:rPr>
          <w:lang w:val="en-US"/>
        </w:rPr>
        <w:t xml:space="preserve">Easy </w:t>
      </w:r>
      <w:r>
        <w:rPr>
          <w:lang w:val="en-US"/>
        </w:rPr>
        <w:t>Read,</w:t>
      </w:r>
      <w:r w:rsidRPr="00971624">
        <w:rPr>
          <w:lang w:val="en-US"/>
        </w:rPr>
        <w:t xml:space="preserve"> or Easy </w:t>
      </w:r>
      <w:r>
        <w:rPr>
          <w:lang w:val="en-US"/>
        </w:rPr>
        <w:t>English</w:t>
      </w:r>
      <w:r w:rsidRPr="00971624">
        <w:rPr>
          <w:lang w:val="en-US"/>
        </w:rPr>
        <w:t xml:space="preserve">, is a simplified form of plain English that is used for written information, often using pictures and short sentences. It is helpful for people with a cognitive or an intellectual disability or low English language literacy levels. </w:t>
      </w:r>
    </w:p>
    <w:p w14:paraId="61AB109F" w14:textId="105B4009" w:rsidR="00561ED4" w:rsidRDefault="00561ED4" w:rsidP="00DE3A93">
      <w:pPr>
        <w:pStyle w:val="Heading3"/>
      </w:pPr>
      <w:bookmarkStart w:id="49" w:name="_Toc52542474"/>
      <w:bookmarkStart w:id="50" w:name="_Toc53041887"/>
      <w:r>
        <w:t>K</w:t>
      </w:r>
      <w:r w:rsidR="0024000D">
        <w:t>urlana Tapa</w:t>
      </w:r>
      <w:bookmarkEnd w:id="49"/>
      <w:bookmarkEnd w:id="50"/>
    </w:p>
    <w:p w14:paraId="3AF1DAC2" w14:textId="5AA8568D" w:rsidR="004C2E54" w:rsidRDefault="00245034" w:rsidP="007F6FF1">
      <w:pPr>
        <w:rPr>
          <w:rFonts w:eastAsia="Calibri"/>
        </w:rPr>
      </w:pPr>
      <w:r>
        <w:rPr>
          <w:rFonts w:eastAsia="Calibri"/>
        </w:rPr>
        <w:t>T</w:t>
      </w:r>
      <w:r w:rsidR="004C2E54">
        <w:rPr>
          <w:rFonts w:eastAsia="Calibri"/>
        </w:rPr>
        <w:t>he new name for the Adelaide Youth Training Centre,</w:t>
      </w:r>
      <w:r w:rsidR="004C2E54" w:rsidRPr="004C2E54">
        <w:rPr>
          <w:rFonts w:eastAsia="Calibri"/>
        </w:rPr>
        <w:t xml:space="preserve"> South Australia’s only training centre, which provides a safe and secure environment for young people in custod</w:t>
      </w:r>
      <w:r w:rsidR="00CB0676">
        <w:rPr>
          <w:rFonts w:eastAsia="Calibri"/>
        </w:rPr>
        <w:t xml:space="preserve">y. </w:t>
      </w:r>
      <w:r w:rsidR="004C2E54" w:rsidRPr="004C2E54">
        <w:rPr>
          <w:rFonts w:eastAsia="Calibri"/>
        </w:rPr>
        <w:t>Kurlana Tapa means “New Path” in Kaurna language.</w:t>
      </w:r>
    </w:p>
    <w:p w14:paraId="7C2D8F55" w14:textId="7B6ACC9C" w:rsidR="00BC69D5" w:rsidRPr="00971624" w:rsidRDefault="00BC69D5" w:rsidP="00DE3A93">
      <w:pPr>
        <w:pStyle w:val="Heading3"/>
      </w:pPr>
      <w:bookmarkStart w:id="51" w:name="_Toc52542475"/>
      <w:bookmarkStart w:id="52" w:name="_Toc53041888"/>
      <w:r w:rsidRPr="00971624">
        <w:t>LGBTI</w:t>
      </w:r>
      <w:r w:rsidR="00B914A6">
        <w:t>Q</w:t>
      </w:r>
      <w:r w:rsidRPr="00971624">
        <w:t>A+</w:t>
      </w:r>
      <w:bookmarkEnd w:id="51"/>
      <w:bookmarkEnd w:id="52"/>
    </w:p>
    <w:p w14:paraId="7AE0BCD1" w14:textId="4DB19670" w:rsidR="00BC69D5" w:rsidRDefault="00BC69D5" w:rsidP="007F6FF1">
      <w:pPr>
        <w:rPr>
          <w:rFonts w:eastAsia="Calibri"/>
        </w:rPr>
      </w:pPr>
      <w:r>
        <w:rPr>
          <w:rFonts w:eastAsia="Calibri"/>
        </w:rPr>
        <w:t>Lesbian, Gay, Bisexual, Transgender, Intersexual, Queer/Questioning, Asexual/Agender/</w:t>
      </w:r>
      <w:proofErr w:type="spellStart"/>
      <w:r>
        <w:rPr>
          <w:rFonts w:eastAsia="Calibri"/>
        </w:rPr>
        <w:t>Aro</w:t>
      </w:r>
      <w:r w:rsidR="00466955">
        <w:rPr>
          <w:rFonts w:eastAsia="Calibri"/>
        </w:rPr>
        <w:t>m</w:t>
      </w:r>
      <w:r>
        <w:rPr>
          <w:rFonts w:eastAsia="Calibri"/>
        </w:rPr>
        <w:t>antic</w:t>
      </w:r>
      <w:proofErr w:type="spellEnd"/>
      <w:r>
        <w:rPr>
          <w:rFonts w:eastAsia="Calibri"/>
        </w:rPr>
        <w:t xml:space="preserve"> and other sexual orientations and gender identities</w:t>
      </w:r>
      <w:r w:rsidR="00B914A6">
        <w:rPr>
          <w:rFonts w:eastAsia="Calibri"/>
        </w:rPr>
        <w:t>.</w:t>
      </w:r>
    </w:p>
    <w:p w14:paraId="35AE7FB9" w14:textId="77777777" w:rsidR="00BC69D5" w:rsidRPr="00F32950" w:rsidRDefault="00BC69D5" w:rsidP="00DE3A93">
      <w:pPr>
        <w:pStyle w:val="Heading3"/>
      </w:pPr>
      <w:bookmarkStart w:id="53" w:name="_Toc52542476"/>
      <w:bookmarkStart w:id="54" w:name="_Toc53041889"/>
      <w:r w:rsidRPr="00F32950">
        <w:t>Local councils</w:t>
      </w:r>
      <w:bookmarkEnd w:id="53"/>
      <w:bookmarkEnd w:id="54"/>
    </w:p>
    <w:p w14:paraId="0266A03F" w14:textId="6212F75C" w:rsidR="00BC69D5" w:rsidRDefault="00680068" w:rsidP="007F6FF1">
      <w:pPr>
        <w:rPr>
          <w:rFonts w:eastAsia="Calibri"/>
        </w:rPr>
      </w:pPr>
      <w:r w:rsidRPr="00680068">
        <w:rPr>
          <w:rFonts w:eastAsia="Calibri"/>
        </w:rPr>
        <w:t xml:space="preserve">A system of government in South Australia under which elected local government bodies (councils) are established and empowered by the State Government under the </w:t>
      </w:r>
      <w:r w:rsidRPr="00680068">
        <w:rPr>
          <w:rFonts w:eastAsia="Calibri"/>
          <w:i/>
          <w:iCs/>
        </w:rPr>
        <w:t>Local Government Act 1999 (SA)</w:t>
      </w:r>
      <w:r w:rsidR="00B914A6">
        <w:rPr>
          <w:rFonts w:eastAsia="Calibri"/>
        </w:rPr>
        <w:t>.</w:t>
      </w:r>
    </w:p>
    <w:p w14:paraId="302B6E8C" w14:textId="554C7A65" w:rsidR="00A878F8" w:rsidRPr="004C2E54" w:rsidRDefault="00A878F8" w:rsidP="00DE3A93">
      <w:pPr>
        <w:pStyle w:val="Heading3"/>
      </w:pPr>
      <w:bookmarkStart w:id="55" w:name="_Toc52542477"/>
      <w:bookmarkStart w:id="56" w:name="_Toc53041890"/>
      <w:r w:rsidRPr="004C2E54">
        <w:t>N</w:t>
      </w:r>
      <w:r w:rsidR="00BC69D5">
        <w:t>ational Disability Strategy 20</w:t>
      </w:r>
      <w:r w:rsidR="009B7A2C">
        <w:t>10</w:t>
      </w:r>
      <w:r w:rsidR="00F600E0">
        <w:t>–</w:t>
      </w:r>
      <w:r w:rsidR="00BC69D5">
        <w:t>2020</w:t>
      </w:r>
      <w:bookmarkEnd w:id="55"/>
      <w:bookmarkEnd w:id="56"/>
    </w:p>
    <w:p w14:paraId="0D3CB32D" w14:textId="087BD0B6" w:rsidR="00A878F8" w:rsidRPr="00DC0167" w:rsidRDefault="00BC69D5" w:rsidP="007F6FF1">
      <w:pPr>
        <w:rPr>
          <w:lang w:val="en-US"/>
        </w:rPr>
      </w:pPr>
      <w:r>
        <w:rPr>
          <w:lang w:val="en-US"/>
        </w:rPr>
        <w:t>T</w:t>
      </w:r>
      <w:r w:rsidR="00491CED">
        <w:rPr>
          <w:lang w:val="en-US"/>
        </w:rPr>
        <w:t>he strategy is</w:t>
      </w:r>
      <w:r w:rsidR="00A878F8" w:rsidRPr="00DC0167">
        <w:rPr>
          <w:lang w:val="en-US"/>
        </w:rPr>
        <w:t xml:space="preserve"> a shared commitment by all governments to work together to improve the lives of Australians with disability by guiding governments and other organisations to build the wellbeing of people with disability and their </w:t>
      </w:r>
      <w:proofErr w:type="spellStart"/>
      <w:r w:rsidR="00A878F8" w:rsidRPr="00DC0167">
        <w:rPr>
          <w:lang w:val="en-US"/>
        </w:rPr>
        <w:t>carers</w:t>
      </w:r>
      <w:proofErr w:type="spellEnd"/>
      <w:r w:rsidR="00A878F8" w:rsidRPr="00DC0167">
        <w:rPr>
          <w:lang w:val="en-US"/>
        </w:rPr>
        <w:t>.</w:t>
      </w:r>
    </w:p>
    <w:p w14:paraId="47F2F4E6" w14:textId="2A3C7EA6" w:rsidR="005504A9" w:rsidRDefault="005504A9" w:rsidP="00DE3A93">
      <w:pPr>
        <w:pStyle w:val="Heading3"/>
      </w:pPr>
      <w:bookmarkStart w:id="57" w:name="_Toc52542478"/>
      <w:bookmarkStart w:id="58" w:name="_Toc53041891"/>
      <w:r>
        <w:t>People’s Advocacy Group</w:t>
      </w:r>
      <w:bookmarkEnd w:id="57"/>
      <w:bookmarkEnd w:id="58"/>
    </w:p>
    <w:p w14:paraId="0BC8BE2C" w14:textId="71165B85" w:rsidR="005504A9" w:rsidRDefault="008E42AC" w:rsidP="007F6FF1">
      <w:pPr>
        <w:rPr>
          <w:lang w:val="en-US"/>
        </w:rPr>
      </w:pPr>
      <w:r>
        <w:rPr>
          <w:lang w:val="en-US"/>
        </w:rPr>
        <w:t xml:space="preserve">The People’s Advocacy Group is a group of </w:t>
      </w:r>
      <w:r w:rsidR="00683A22">
        <w:rPr>
          <w:lang w:val="en-US"/>
        </w:rPr>
        <w:t>Accommodation</w:t>
      </w:r>
      <w:r>
        <w:rPr>
          <w:lang w:val="en-US"/>
        </w:rPr>
        <w:t xml:space="preserve"> Services clients who work with the department and its networ</w:t>
      </w:r>
      <w:r w:rsidR="00683A22">
        <w:rPr>
          <w:lang w:val="en-US"/>
        </w:rPr>
        <w:t>k</w:t>
      </w:r>
      <w:r>
        <w:rPr>
          <w:lang w:val="en-US"/>
        </w:rPr>
        <w:t>s around the re-shape of Accommodation Services</w:t>
      </w:r>
      <w:r w:rsidR="00683A22">
        <w:rPr>
          <w:lang w:val="en-US"/>
        </w:rPr>
        <w:t xml:space="preserve">. They test and inform decision-making around changes being made to improve the service. </w:t>
      </w:r>
    </w:p>
    <w:p w14:paraId="5E69F137" w14:textId="77777777" w:rsidR="00BC69D5" w:rsidRDefault="00BC69D5" w:rsidP="00DE3A93">
      <w:pPr>
        <w:pStyle w:val="Heading3"/>
      </w:pPr>
      <w:bookmarkStart w:id="59" w:name="_Toc52542479"/>
      <w:bookmarkStart w:id="60" w:name="_Toc53041892"/>
      <w:r>
        <w:t>NDIA</w:t>
      </w:r>
      <w:bookmarkEnd w:id="59"/>
      <w:bookmarkEnd w:id="60"/>
    </w:p>
    <w:p w14:paraId="4B27B6BC" w14:textId="73FCF199" w:rsidR="009F780A" w:rsidRPr="00FA523E" w:rsidRDefault="009F780A" w:rsidP="007F6FF1">
      <w:pPr>
        <w:rPr>
          <w:b/>
          <w:bCs/>
          <w:color w:val="7E7B99" w:themeColor="text2" w:themeTint="99"/>
        </w:rPr>
      </w:pPr>
      <w:r w:rsidRPr="00617089">
        <w:rPr>
          <w:lang w:val="en-US"/>
        </w:rPr>
        <w:t>The National Disability Insurance Agency (NDIA) is an independent statutory agency responsible for the implementation of the (NDIS)</w:t>
      </w:r>
      <w:r w:rsidR="00B914A6">
        <w:rPr>
          <w:lang w:val="en-US"/>
        </w:rPr>
        <w:t>.</w:t>
      </w:r>
    </w:p>
    <w:p w14:paraId="1D51B094" w14:textId="77777777" w:rsidR="00BC69D5" w:rsidRPr="005B160F" w:rsidRDefault="00BC69D5" w:rsidP="00DE3A93">
      <w:pPr>
        <w:pStyle w:val="Heading3"/>
      </w:pPr>
      <w:bookmarkStart w:id="61" w:name="_Toc52542480"/>
      <w:bookmarkStart w:id="62" w:name="_Toc53041893"/>
      <w:r w:rsidRPr="005B160F">
        <w:t>NDIS</w:t>
      </w:r>
      <w:bookmarkEnd w:id="61"/>
      <w:bookmarkEnd w:id="62"/>
    </w:p>
    <w:p w14:paraId="0A44DD60" w14:textId="71A65EAE" w:rsidR="009F780A" w:rsidRDefault="009F780A" w:rsidP="007F6FF1">
      <w:pPr>
        <w:rPr>
          <w:lang w:val="en-US"/>
        </w:rPr>
      </w:pPr>
      <w:r w:rsidRPr="00617089">
        <w:rPr>
          <w:lang w:val="en-US"/>
        </w:rPr>
        <w:t xml:space="preserve">The NDIS provides support to people with disability, their families and carers. It is jointly governed and funded </w:t>
      </w:r>
      <w:r w:rsidR="00B47D61" w:rsidRPr="00B47D61">
        <w:rPr>
          <w:lang w:val="en-US"/>
        </w:rPr>
        <w:t>by the Commonwealth and participating state and territory governments.</w:t>
      </w:r>
    </w:p>
    <w:p w14:paraId="00A7A982" w14:textId="114E8172" w:rsidR="00A878F8" w:rsidRPr="009F780A" w:rsidRDefault="00A878F8" w:rsidP="00DE3A93">
      <w:pPr>
        <w:pStyle w:val="Heading3"/>
      </w:pPr>
      <w:bookmarkStart w:id="63" w:name="_Toc52542481"/>
      <w:bookmarkStart w:id="64" w:name="_Toc53041894"/>
      <w:r w:rsidRPr="009F780A">
        <w:lastRenderedPageBreak/>
        <w:t>State authority</w:t>
      </w:r>
      <w:bookmarkEnd w:id="63"/>
      <w:bookmarkEnd w:id="64"/>
    </w:p>
    <w:p w14:paraId="3B1E85D7" w14:textId="4A961ABB" w:rsidR="00A878F8" w:rsidRDefault="00A878F8" w:rsidP="007F6FF1">
      <w:pPr>
        <w:rPr>
          <w:lang w:val="en-US"/>
        </w:rPr>
      </w:pPr>
      <w:r w:rsidRPr="00DC0167">
        <w:rPr>
          <w:lang w:val="en-US"/>
        </w:rPr>
        <w:t xml:space="preserve">As defined in the </w:t>
      </w:r>
      <w:r w:rsidRPr="00DC0167">
        <w:rPr>
          <w:i/>
          <w:lang w:val="en-US"/>
        </w:rPr>
        <w:t xml:space="preserve">Disability Inclusion Act 2018 </w:t>
      </w:r>
      <w:r w:rsidRPr="00DC0167">
        <w:rPr>
          <w:lang w:val="en-US"/>
        </w:rPr>
        <w:t xml:space="preserve">(SA) to include a government department, an agency or instrumentality of the Crown, a local council constituted under the </w:t>
      </w:r>
      <w:r w:rsidRPr="00DC0167">
        <w:rPr>
          <w:i/>
          <w:lang w:val="en-US"/>
        </w:rPr>
        <w:t xml:space="preserve">Local Government Act 1999 </w:t>
      </w:r>
      <w:r w:rsidRPr="00DC0167">
        <w:rPr>
          <w:lang w:val="en-US"/>
        </w:rPr>
        <w:t>(SA) or any other person or body declared by regulations to be included.</w:t>
      </w:r>
    </w:p>
    <w:p w14:paraId="09E0FCB2" w14:textId="28C1A320" w:rsidR="00BC69D5" w:rsidRPr="00DE3A93" w:rsidRDefault="00BC69D5" w:rsidP="00DE3A93">
      <w:pPr>
        <w:pStyle w:val="Heading3"/>
      </w:pPr>
      <w:bookmarkStart w:id="65" w:name="_Toc52542482"/>
      <w:bookmarkStart w:id="66" w:name="_Toc53041895"/>
      <w:r w:rsidRPr="00DE3A93">
        <w:t>State Disability Inclusion Plan 2019</w:t>
      </w:r>
      <w:r w:rsidR="00671ABC" w:rsidRPr="00DE3A93">
        <w:t>–</w:t>
      </w:r>
      <w:r w:rsidRPr="00DE3A93">
        <w:t>2023: Inclusive</w:t>
      </w:r>
      <w:r w:rsidR="00DE3A93" w:rsidRPr="00DE3A93">
        <w:t> </w:t>
      </w:r>
      <w:r w:rsidRPr="00DE3A93">
        <w:t>SA</w:t>
      </w:r>
      <w:bookmarkEnd w:id="65"/>
      <w:bookmarkEnd w:id="66"/>
    </w:p>
    <w:p w14:paraId="174AE074" w14:textId="30D88625" w:rsidR="00BC69D5" w:rsidRDefault="00BC69D5" w:rsidP="007F6FF1">
      <w:pPr>
        <w:rPr>
          <w:lang w:val="en-US"/>
        </w:rPr>
      </w:pPr>
      <w:r w:rsidRPr="003E3E55">
        <w:rPr>
          <w:lang w:val="en-US"/>
        </w:rPr>
        <w:t>The South Australian Government has prepared Inclusive SA, the state’s disability inclusion plan for 2019</w:t>
      </w:r>
      <w:r w:rsidR="00671ABC">
        <w:rPr>
          <w:lang w:val="en-US"/>
        </w:rPr>
        <w:t>–</w:t>
      </w:r>
      <w:r w:rsidRPr="003E3E55">
        <w:rPr>
          <w:lang w:val="en-US"/>
        </w:rPr>
        <w:t xml:space="preserve">2023. This plan is the way the government is taking a lead on promoting the inclusion of South Australians </w:t>
      </w:r>
      <w:r w:rsidR="00466955">
        <w:rPr>
          <w:lang w:val="en-US"/>
        </w:rPr>
        <w:t>with disability</w:t>
      </w:r>
      <w:r w:rsidRPr="003E3E55">
        <w:rPr>
          <w:lang w:val="en-US"/>
        </w:rPr>
        <w:t xml:space="preserve"> and providing them with support to live satisfying everyday lives.</w:t>
      </w:r>
    </w:p>
    <w:p w14:paraId="2E9186ED" w14:textId="5E73C988" w:rsidR="00BC69D5" w:rsidRPr="00F32950" w:rsidRDefault="00BC69D5" w:rsidP="00DE3A93">
      <w:pPr>
        <w:pStyle w:val="Heading3"/>
      </w:pPr>
      <w:bookmarkStart w:id="67" w:name="_Toc52542483"/>
      <w:bookmarkStart w:id="68" w:name="_Toc53041896"/>
      <w:r w:rsidRPr="00F32950">
        <w:t>Supported Decision</w:t>
      </w:r>
      <w:r w:rsidR="00466955">
        <w:t>-</w:t>
      </w:r>
      <w:r w:rsidRPr="00F32950">
        <w:t>Making</w:t>
      </w:r>
      <w:bookmarkEnd w:id="67"/>
      <w:bookmarkEnd w:id="68"/>
    </w:p>
    <w:p w14:paraId="1FF20233" w14:textId="566C541A" w:rsidR="00BC69D5" w:rsidRDefault="00BC69D5" w:rsidP="007F6FF1">
      <w:pPr>
        <w:rPr>
          <w:lang w:val="en-US"/>
        </w:rPr>
      </w:pPr>
      <w:r>
        <w:rPr>
          <w:lang w:val="en-US"/>
        </w:rPr>
        <w:t xml:space="preserve">A model for supporting people </w:t>
      </w:r>
      <w:r w:rsidR="00466955">
        <w:rPr>
          <w:lang w:val="en-US"/>
        </w:rPr>
        <w:t>with disability</w:t>
      </w:r>
      <w:r>
        <w:rPr>
          <w:lang w:val="en-US"/>
        </w:rPr>
        <w:t xml:space="preserve"> to make significant decisions and exercise their legal capacity.</w:t>
      </w:r>
    </w:p>
    <w:p w14:paraId="35FE5687" w14:textId="77777777" w:rsidR="00BC69D5" w:rsidRPr="00971624" w:rsidRDefault="00BC69D5" w:rsidP="00DE3A93">
      <w:pPr>
        <w:pStyle w:val="Heading3"/>
      </w:pPr>
      <w:bookmarkStart w:id="69" w:name="_Toc52542484"/>
      <w:bookmarkStart w:id="70" w:name="_Toc53041897"/>
      <w:r w:rsidRPr="00971624">
        <w:t>Toolkit</w:t>
      </w:r>
      <w:bookmarkEnd w:id="69"/>
      <w:bookmarkEnd w:id="70"/>
    </w:p>
    <w:p w14:paraId="794A3CED" w14:textId="77777777" w:rsidR="00BC69D5" w:rsidRPr="003E3E55" w:rsidRDefault="00BC69D5" w:rsidP="007F6FF1">
      <w:pPr>
        <w:rPr>
          <w:lang w:val="en-US"/>
        </w:rPr>
      </w:pPr>
      <w:r>
        <w:rPr>
          <w:lang w:val="en-US"/>
        </w:rPr>
        <w:t>A suite of information documents with may include guidelines, templates and procedures to assist in the completion of a task.</w:t>
      </w:r>
    </w:p>
    <w:p w14:paraId="2E1894D2" w14:textId="1E99F8BE" w:rsidR="00A878F8" w:rsidRPr="00DC0167" w:rsidRDefault="00A878F8" w:rsidP="00DE3A93">
      <w:pPr>
        <w:pStyle w:val="Heading3"/>
      </w:pPr>
      <w:bookmarkStart w:id="71" w:name="_Toc52542486"/>
      <w:bookmarkStart w:id="72" w:name="_Toc53041899"/>
      <w:r w:rsidRPr="00DC0167">
        <w:t xml:space="preserve">Universal </w:t>
      </w:r>
      <w:r w:rsidR="00B47D61">
        <w:t>D</w:t>
      </w:r>
      <w:r w:rsidRPr="00DC0167">
        <w:t>esign</w:t>
      </w:r>
      <w:bookmarkEnd w:id="71"/>
      <w:bookmarkEnd w:id="72"/>
    </w:p>
    <w:p w14:paraId="0011F6AA" w14:textId="4577C77E" w:rsidR="00A878F8" w:rsidRPr="00DC0167" w:rsidRDefault="00A878F8" w:rsidP="007F6FF1">
      <w:pPr>
        <w:rPr>
          <w:lang w:val="en-US"/>
        </w:rPr>
      </w:pPr>
      <w:r w:rsidRPr="00DC0167">
        <w:rPr>
          <w:lang w:val="en-US"/>
        </w:rPr>
        <w:t xml:space="preserve">Universal </w:t>
      </w:r>
      <w:r w:rsidR="00B47D61">
        <w:rPr>
          <w:lang w:val="en-US"/>
        </w:rPr>
        <w:t>D</w:t>
      </w:r>
      <w:r w:rsidRPr="00DC0167">
        <w:rPr>
          <w:lang w:val="en-US"/>
        </w:rPr>
        <w:t>esign involves creating facilities, built environments, products and services that can be used by people of all abilities, to the greatest extent possible, without adaptations.</w:t>
      </w:r>
    </w:p>
    <w:p w14:paraId="121F3CCC" w14:textId="77777777" w:rsidR="00BC69D5" w:rsidRDefault="00BC69D5" w:rsidP="00DE3A93">
      <w:pPr>
        <w:pStyle w:val="Heading3"/>
      </w:pPr>
      <w:bookmarkStart w:id="73" w:name="_Toc52542487"/>
      <w:bookmarkStart w:id="74" w:name="_Toc53041900"/>
      <w:r w:rsidRPr="003E3E55">
        <w:t>YourSAy</w:t>
      </w:r>
      <w:bookmarkEnd w:id="73"/>
      <w:bookmarkEnd w:id="74"/>
    </w:p>
    <w:p w14:paraId="1E8C670E" w14:textId="52D1DA91" w:rsidR="008D6010" w:rsidRPr="00383AA1" w:rsidRDefault="00BC69D5" w:rsidP="00F82A7E">
      <w:pPr>
        <w:rPr>
          <w:lang w:val="en-US"/>
        </w:rPr>
      </w:pPr>
      <w:r>
        <w:rPr>
          <w:lang w:val="en-US"/>
        </w:rPr>
        <w:t xml:space="preserve">An online consultation hub where you can find and provide feedback on consultations open across South Australian </w:t>
      </w:r>
      <w:r w:rsidR="00B47D61">
        <w:rPr>
          <w:lang w:val="en-US"/>
        </w:rPr>
        <w:t>G</w:t>
      </w:r>
      <w:r>
        <w:rPr>
          <w:lang w:val="en-US"/>
        </w:rPr>
        <w:t>overnment.</w:t>
      </w:r>
    </w:p>
    <w:sectPr w:rsidR="008D6010" w:rsidRPr="00383AA1" w:rsidSect="00AF74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B07E" w14:textId="77777777" w:rsidR="003A4340" w:rsidRDefault="003A4340" w:rsidP="00F82A7E">
      <w:r>
        <w:separator/>
      </w:r>
    </w:p>
  </w:endnote>
  <w:endnote w:type="continuationSeparator" w:id="0">
    <w:p w14:paraId="19D76F52" w14:textId="77777777" w:rsidR="003A4340" w:rsidRDefault="003A4340" w:rsidP="00F82A7E">
      <w:r>
        <w:continuationSeparator/>
      </w:r>
    </w:p>
  </w:endnote>
  <w:endnote w:type="continuationNotice" w:id="1">
    <w:p w14:paraId="51DA867A" w14:textId="77777777" w:rsidR="003A4340" w:rsidRDefault="003A4340" w:rsidP="00F8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598782"/>
      <w:docPartObj>
        <w:docPartGallery w:val="Page Numbers (Bottom of Page)"/>
        <w:docPartUnique/>
      </w:docPartObj>
    </w:sdtPr>
    <w:sdtEndPr>
      <w:rPr>
        <w:noProof/>
      </w:rPr>
    </w:sdtEndPr>
    <w:sdtContent>
      <w:p w14:paraId="371852BB" w14:textId="155F6682" w:rsidR="00DE3A93" w:rsidRDefault="00DE3A93" w:rsidP="00D8212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F65D0" w14:textId="77777777" w:rsidR="003A4340" w:rsidRDefault="003A4340" w:rsidP="00F82A7E">
      <w:r>
        <w:separator/>
      </w:r>
    </w:p>
  </w:footnote>
  <w:footnote w:type="continuationSeparator" w:id="0">
    <w:p w14:paraId="63B8DC80" w14:textId="77777777" w:rsidR="003A4340" w:rsidRDefault="003A4340" w:rsidP="00F82A7E">
      <w:r>
        <w:continuationSeparator/>
      </w:r>
    </w:p>
  </w:footnote>
  <w:footnote w:type="continuationNotice" w:id="1">
    <w:p w14:paraId="265187AB" w14:textId="77777777" w:rsidR="003A4340" w:rsidRDefault="003A4340" w:rsidP="00F82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C34"/>
    <w:multiLevelType w:val="hybridMultilevel"/>
    <w:tmpl w:val="B440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A5ECE"/>
    <w:multiLevelType w:val="hybridMultilevel"/>
    <w:tmpl w:val="81D2EC4E"/>
    <w:lvl w:ilvl="0" w:tplc="698235B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114ED"/>
    <w:multiLevelType w:val="hybridMultilevel"/>
    <w:tmpl w:val="166EF3FC"/>
    <w:lvl w:ilvl="0" w:tplc="9828E6AE">
      <w:start w:val="1"/>
      <w:numFmt w:val="decimal"/>
      <w:lvlText w:val="%1."/>
      <w:lvlJc w:val="left"/>
      <w:pPr>
        <w:ind w:left="720" w:hanging="360"/>
      </w:pPr>
    </w:lvl>
    <w:lvl w:ilvl="1" w:tplc="4052D334">
      <w:start w:val="1"/>
      <w:numFmt w:val="lowerLetter"/>
      <w:lvlText w:val="%2."/>
      <w:lvlJc w:val="left"/>
      <w:pPr>
        <w:ind w:left="1440" w:hanging="360"/>
      </w:pPr>
    </w:lvl>
    <w:lvl w:ilvl="2" w:tplc="041E6C82">
      <w:start w:val="1"/>
      <w:numFmt w:val="lowerRoman"/>
      <w:lvlText w:val="%3."/>
      <w:lvlJc w:val="right"/>
      <w:pPr>
        <w:ind w:left="2160" w:hanging="180"/>
      </w:pPr>
    </w:lvl>
    <w:lvl w:ilvl="3" w:tplc="295ACC80">
      <w:start w:val="1"/>
      <w:numFmt w:val="decimal"/>
      <w:lvlText w:val="%4."/>
      <w:lvlJc w:val="left"/>
      <w:pPr>
        <w:ind w:left="2880" w:hanging="360"/>
      </w:pPr>
    </w:lvl>
    <w:lvl w:ilvl="4" w:tplc="D2B045D4">
      <w:start w:val="1"/>
      <w:numFmt w:val="lowerLetter"/>
      <w:lvlText w:val="%5."/>
      <w:lvlJc w:val="left"/>
      <w:pPr>
        <w:ind w:left="3600" w:hanging="360"/>
      </w:pPr>
    </w:lvl>
    <w:lvl w:ilvl="5" w:tplc="35903692">
      <w:start w:val="1"/>
      <w:numFmt w:val="lowerRoman"/>
      <w:lvlText w:val="%6."/>
      <w:lvlJc w:val="right"/>
      <w:pPr>
        <w:ind w:left="4320" w:hanging="180"/>
      </w:pPr>
    </w:lvl>
    <w:lvl w:ilvl="6" w:tplc="C74E9F38">
      <w:start w:val="1"/>
      <w:numFmt w:val="decimal"/>
      <w:lvlText w:val="%7."/>
      <w:lvlJc w:val="left"/>
      <w:pPr>
        <w:ind w:left="5040" w:hanging="360"/>
      </w:pPr>
    </w:lvl>
    <w:lvl w:ilvl="7" w:tplc="A6A449EE">
      <w:start w:val="1"/>
      <w:numFmt w:val="lowerLetter"/>
      <w:lvlText w:val="%8."/>
      <w:lvlJc w:val="left"/>
      <w:pPr>
        <w:ind w:left="5760" w:hanging="360"/>
      </w:pPr>
    </w:lvl>
    <w:lvl w:ilvl="8" w:tplc="BC6C0C04">
      <w:start w:val="1"/>
      <w:numFmt w:val="lowerRoman"/>
      <w:lvlText w:val="%9."/>
      <w:lvlJc w:val="right"/>
      <w:pPr>
        <w:ind w:left="6480" w:hanging="180"/>
      </w:pPr>
    </w:lvl>
  </w:abstractNum>
  <w:abstractNum w:abstractNumId="3" w15:restartNumberingAfterBreak="0">
    <w:nsid w:val="05913141"/>
    <w:multiLevelType w:val="hybridMultilevel"/>
    <w:tmpl w:val="9202E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C372B"/>
    <w:multiLevelType w:val="hybridMultilevel"/>
    <w:tmpl w:val="3D46288C"/>
    <w:lvl w:ilvl="0" w:tplc="F484EBFA">
      <w:start w:val="1"/>
      <w:numFmt w:val="decimal"/>
      <w:lvlText w:val="%1."/>
      <w:lvlJc w:val="left"/>
      <w:pPr>
        <w:ind w:left="720" w:hanging="360"/>
      </w:pPr>
    </w:lvl>
    <w:lvl w:ilvl="1" w:tplc="7A34AA64">
      <w:start w:val="1"/>
      <w:numFmt w:val="lowerLetter"/>
      <w:lvlText w:val="%2."/>
      <w:lvlJc w:val="left"/>
      <w:pPr>
        <w:ind w:left="1440" w:hanging="360"/>
      </w:pPr>
    </w:lvl>
    <w:lvl w:ilvl="2" w:tplc="40EC2E8C">
      <w:start w:val="1"/>
      <w:numFmt w:val="lowerRoman"/>
      <w:lvlText w:val="%3."/>
      <w:lvlJc w:val="right"/>
      <w:pPr>
        <w:ind w:left="2160" w:hanging="180"/>
      </w:pPr>
    </w:lvl>
    <w:lvl w:ilvl="3" w:tplc="31EA6BF4">
      <w:start w:val="1"/>
      <w:numFmt w:val="decimal"/>
      <w:lvlText w:val="%4."/>
      <w:lvlJc w:val="left"/>
      <w:pPr>
        <w:ind w:left="2880" w:hanging="360"/>
      </w:pPr>
    </w:lvl>
    <w:lvl w:ilvl="4" w:tplc="E4148594">
      <w:start w:val="1"/>
      <w:numFmt w:val="lowerLetter"/>
      <w:lvlText w:val="%5."/>
      <w:lvlJc w:val="left"/>
      <w:pPr>
        <w:ind w:left="3600" w:hanging="360"/>
      </w:pPr>
    </w:lvl>
    <w:lvl w:ilvl="5" w:tplc="1300284E">
      <w:start w:val="1"/>
      <w:numFmt w:val="lowerRoman"/>
      <w:lvlText w:val="%6."/>
      <w:lvlJc w:val="right"/>
      <w:pPr>
        <w:ind w:left="4320" w:hanging="180"/>
      </w:pPr>
    </w:lvl>
    <w:lvl w:ilvl="6" w:tplc="9BF20D0C">
      <w:start w:val="1"/>
      <w:numFmt w:val="decimal"/>
      <w:lvlText w:val="%7."/>
      <w:lvlJc w:val="left"/>
      <w:pPr>
        <w:ind w:left="5040" w:hanging="360"/>
      </w:pPr>
    </w:lvl>
    <w:lvl w:ilvl="7" w:tplc="EE108F22">
      <w:start w:val="1"/>
      <w:numFmt w:val="lowerLetter"/>
      <w:lvlText w:val="%8."/>
      <w:lvlJc w:val="left"/>
      <w:pPr>
        <w:ind w:left="5760" w:hanging="360"/>
      </w:pPr>
    </w:lvl>
    <w:lvl w:ilvl="8" w:tplc="7CDA323E">
      <w:start w:val="1"/>
      <w:numFmt w:val="lowerRoman"/>
      <w:lvlText w:val="%9."/>
      <w:lvlJc w:val="right"/>
      <w:pPr>
        <w:ind w:left="6480" w:hanging="180"/>
      </w:pPr>
    </w:lvl>
  </w:abstractNum>
  <w:abstractNum w:abstractNumId="5" w15:restartNumberingAfterBreak="0">
    <w:nsid w:val="102D3434"/>
    <w:multiLevelType w:val="hybridMultilevel"/>
    <w:tmpl w:val="51C6A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607536"/>
    <w:multiLevelType w:val="hybridMultilevel"/>
    <w:tmpl w:val="C67E7C9C"/>
    <w:lvl w:ilvl="0" w:tplc="D8000D20">
      <w:start w:val="1"/>
      <w:numFmt w:val="decimal"/>
      <w:lvlText w:val="%1."/>
      <w:lvlJc w:val="left"/>
      <w:pPr>
        <w:ind w:left="720" w:hanging="360"/>
      </w:pPr>
    </w:lvl>
    <w:lvl w:ilvl="1" w:tplc="D8F6D0A8">
      <w:start w:val="1"/>
      <w:numFmt w:val="lowerLetter"/>
      <w:lvlText w:val="%2."/>
      <w:lvlJc w:val="left"/>
      <w:pPr>
        <w:ind w:left="1440" w:hanging="360"/>
      </w:pPr>
    </w:lvl>
    <w:lvl w:ilvl="2" w:tplc="4F8ABD2C">
      <w:start w:val="1"/>
      <w:numFmt w:val="lowerRoman"/>
      <w:lvlText w:val="%3."/>
      <w:lvlJc w:val="right"/>
      <w:pPr>
        <w:ind w:left="2160" w:hanging="180"/>
      </w:pPr>
    </w:lvl>
    <w:lvl w:ilvl="3" w:tplc="D220AC1E">
      <w:start w:val="1"/>
      <w:numFmt w:val="decimal"/>
      <w:lvlText w:val="%4."/>
      <w:lvlJc w:val="left"/>
      <w:pPr>
        <w:ind w:left="2880" w:hanging="360"/>
      </w:pPr>
    </w:lvl>
    <w:lvl w:ilvl="4" w:tplc="B1301646">
      <w:start w:val="1"/>
      <w:numFmt w:val="lowerLetter"/>
      <w:lvlText w:val="%5."/>
      <w:lvlJc w:val="left"/>
      <w:pPr>
        <w:ind w:left="3600" w:hanging="360"/>
      </w:pPr>
    </w:lvl>
    <w:lvl w:ilvl="5" w:tplc="C73E4260">
      <w:start w:val="1"/>
      <w:numFmt w:val="lowerRoman"/>
      <w:lvlText w:val="%6."/>
      <w:lvlJc w:val="right"/>
      <w:pPr>
        <w:ind w:left="4320" w:hanging="180"/>
      </w:pPr>
    </w:lvl>
    <w:lvl w:ilvl="6" w:tplc="EB3AD5EA">
      <w:start w:val="1"/>
      <w:numFmt w:val="decimal"/>
      <w:lvlText w:val="%7."/>
      <w:lvlJc w:val="left"/>
      <w:pPr>
        <w:ind w:left="5040" w:hanging="360"/>
      </w:pPr>
    </w:lvl>
    <w:lvl w:ilvl="7" w:tplc="F79820D8">
      <w:start w:val="1"/>
      <w:numFmt w:val="lowerLetter"/>
      <w:lvlText w:val="%8."/>
      <w:lvlJc w:val="left"/>
      <w:pPr>
        <w:ind w:left="5760" w:hanging="360"/>
      </w:pPr>
    </w:lvl>
    <w:lvl w:ilvl="8" w:tplc="802A66B8">
      <w:start w:val="1"/>
      <w:numFmt w:val="lowerRoman"/>
      <w:lvlText w:val="%9."/>
      <w:lvlJc w:val="right"/>
      <w:pPr>
        <w:ind w:left="6480" w:hanging="180"/>
      </w:pPr>
    </w:lvl>
  </w:abstractNum>
  <w:abstractNum w:abstractNumId="7" w15:restartNumberingAfterBreak="0">
    <w:nsid w:val="16E90EA8"/>
    <w:multiLevelType w:val="hybridMultilevel"/>
    <w:tmpl w:val="03705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16116"/>
    <w:multiLevelType w:val="hybridMultilevel"/>
    <w:tmpl w:val="66BC8F6C"/>
    <w:lvl w:ilvl="0" w:tplc="0C090001">
      <w:start w:val="1"/>
      <w:numFmt w:val="bullet"/>
      <w:lvlText w:val=""/>
      <w:lvlJc w:val="left"/>
      <w:pPr>
        <w:ind w:left="360" w:hanging="360"/>
      </w:pPr>
      <w:rPr>
        <w:rFonts w:ascii="Symbol" w:hAnsi="Symbol" w:hint="default"/>
      </w:rPr>
    </w:lvl>
    <w:lvl w:ilvl="1" w:tplc="0A048D6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847AEF"/>
    <w:multiLevelType w:val="hybridMultilevel"/>
    <w:tmpl w:val="F74A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B1CB2"/>
    <w:multiLevelType w:val="hybridMultilevel"/>
    <w:tmpl w:val="0230613A"/>
    <w:lvl w:ilvl="0" w:tplc="422E6B08">
      <w:start w:val="1"/>
      <w:numFmt w:val="decimal"/>
      <w:pStyle w:val="Bullet-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14186"/>
    <w:multiLevelType w:val="hybridMultilevel"/>
    <w:tmpl w:val="C390E2E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2E5E7AB3"/>
    <w:multiLevelType w:val="hybridMultilevel"/>
    <w:tmpl w:val="E92C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D39F1"/>
    <w:multiLevelType w:val="hybridMultilevel"/>
    <w:tmpl w:val="354CF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42F64"/>
    <w:multiLevelType w:val="hybridMultilevel"/>
    <w:tmpl w:val="22380D76"/>
    <w:lvl w:ilvl="0" w:tplc="7F66DEF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A54BF"/>
    <w:multiLevelType w:val="hybridMultilevel"/>
    <w:tmpl w:val="E402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87BE5"/>
    <w:multiLevelType w:val="hybridMultilevel"/>
    <w:tmpl w:val="BF5CDF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09244F"/>
    <w:multiLevelType w:val="hybridMultilevel"/>
    <w:tmpl w:val="2E6E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BC2A99"/>
    <w:multiLevelType w:val="hybridMultilevel"/>
    <w:tmpl w:val="C1A0A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1913090"/>
    <w:multiLevelType w:val="hybridMultilevel"/>
    <w:tmpl w:val="6AB2A5B4"/>
    <w:lvl w:ilvl="0" w:tplc="5A0E4B96">
      <w:start w:val="1"/>
      <w:numFmt w:val="bullet"/>
      <w:lvlText w:val=""/>
      <w:lvlJc w:val="left"/>
      <w:pPr>
        <w:ind w:left="720" w:hanging="360"/>
      </w:pPr>
      <w:rPr>
        <w:rFonts w:ascii="Symbol" w:hAnsi="Symbol" w:hint="default"/>
      </w:rPr>
    </w:lvl>
    <w:lvl w:ilvl="1" w:tplc="4094F18C">
      <w:start w:val="1"/>
      <w:numFmt w:val="bullet"/>
      <w:lvlText w:val="o"/>
      <w:lvlJc w:val="left"/>
      <w:pPr>
        <w:ind w:left="1440" w:hanging="360"/>
      </w:pPr>
      <w:rPr>
        <w:rFonts w:ascii="Courier New" w:hAnsi="Courier New" w:hint="default"/>
      </w:rPr>
    </w:lvl>
    <w:lvl w:ilvl="2" w:tplc="19DC70FC">
      <w:start w:val="1"/>
      <w:numFmt w:val="bullet"/>
      <w:lvlText w:val=""/>
      <w:lvlJc w:val="left"/>
      <w:pPr>
        <w:ind w:left="2160" w:hanging="360"/>
      </w:pPr>
      <w:rPr>
        <w:rFonts w:ascii="Wingdings" w:hAnsi="Wingdings" w:hint="default"/>
      </w:rPr>
    </w:lvl>
    <w:lvl w:ilvl="3" w:tplc="CBE224B2">
      <w:start w:val="1"/>
      <w:numFmt w:val="bullet"/>
      <w:lvlText w:val=""/>
      <w:lvlJc w:val="left"/>
      <w:pPr>
        <w:ind w:left="2880" w:hanging="360"/>
      </w:pPr>
      <w:rPr>
        <w:rFonts w:ascii="Symbol" w:hAnsi="Symbol" w:hint="default"/>
      </w:rPr>
    </w:lvl>
    <w:lvl w:ilvl="4" w:tplc="1118085C">
      <w:start w:val="1"/>
      <w:numFmt w:val="bullet"/>
      <w:lvlText w:val="o"/>
      <w:lvlJc w:val="left"/>
      <w:pPr>
        <w:ind w:left="3600" w:hanging="360"/>
      </w:pPr>
      <w:rPr>
        <w:rFonts w:ascii="Courier New" w:hAnsi="Courier New" w:hint="default"/>
      </w:rPr>
    </w:lvl>
    <w:lvl w:ilvl="5" w:tplc="027EFACE">
      <w:start w:val="1"/>
      <w:numFmt w:val="bullet"/>
      <w:lvlText w:val=""/>
      <w:lvlJc w:val="left"/>
      <w:pPr>
        <w:ind w:left="4320" w:hanging="360"/>
      </w:pPr>
      <w:rPr>
        <w:rFonts w:ascii="Wingdings" w:hAnsi="Wingdings" w:hint="default"/>
      </w:rPr>
    </w:lvl>
    <w:lvl w:ilvl="6" w:tplc="7B16941A">
      <w:start w:val="1"/>
      <w:numFmt w:val="bullet"/>
      <w:lvlText w:val=""/>
      <w:lvlJc w:val="left"/>
      <w:pPr>
        <w:ind w:left="5040" w:hanging="360"/>
      </w:pPr>
      <w:rPr>
        <w:rFonts w:ascii="Symbol" w:hAnsi="Symbol" w:hint="default"/>
      </w:rPr>
    </w:lvl>
    <w:lvl w:ilvl="7" w:tplc="531E0064">
      <w:start w:val="1"/>
      <w:numFmt w:val="bullet"/>
      <w:lvlText w:val="o"/>
      <w:lvlJc w:val="left"/>
      <w:pPr>
        <w:ind w:left="5760" w:hanging="360"/>
      </w:pPr>
      <w:rPr>
        <w:rFonts w:ascii="Courier New" w:hAnsi="Courier New" w:hint="default"/>
      </w:rPr>
    </w:lvl>
    <w:lvl w:ilvl="8" w:tplc="6D8897D8">
      <w:start w:val="1"/>
      <w:numFmt w:val="bullet"/>
      <w:lvlText w:val=""/>
      <w:lvlJc w:val="left"/>
      <w:pPr>
        <w:ind w:left="6480" w:hanging="360"/>
      </w:pPr>
      <w:rPr>
        <w:rFonts w:ascii="Wingdings" w:hAnsi="Wingdings" w:hint="default"/>
      </w:rPr>
    </w:lvl>
  </w:abstractNum>
  <w:abstractNum w:abstractNumId="20" w15:restartNumberingAfterBreak="0">
    <w:nsid w:val="66407ABD"/>
    <w:multiLevelType w:val="hybridMultilevel"/>
    <w:tmpl w:val="00E0C970"/>
    <w:lvl w:ilvl="0" w:tplc="7F66DEF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95452A"/>
    <w:multiLevelType w:val="hybridMultilevel"/>
    <w:tmpl w:val="35E4D014"/>
    <w:lvl w:ilvl="0" w:tplc="150CE5E4">
      <w:start w:val="1"/>
      <w:numFmt w:val="bullet"/>
      <w:pStyle w:val="Bullet-Disc"/>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1A64E61"/>
    <w:multiLevelType w:val="hybridMultilevel"/>
    <w:tmpl w:val="616AB368"/>
    <w:lvl w:ilvl="0" w:tplc="3F3643FC">
      <w:start w:val="1"/>
      <w:numFmt w:val="decimal"/>
      <w:lvlText w:val="%1."/>
      <w:lvlJc w:val="left"/>
      <w:pPr>
        <w:ind w:left="720" w:hanging="360"/>
      </w:pPr>
    </w:lvl>
    <w:lvl w:ilvl="1" w:tplc="9F8AD9C2">
      <w:start w:val="1"/>
      <w:numFmt w:val="lowerLetter"/>
      <w:lvlText w:val="%2."/>
      <w:lvlJc w:val="left"/>
      <w:pPr>
        <w:ind w:left="1440" w:hanging="360"/>
      </w:pPr>
    </w:lvl>
    <w:lvl w:ilvl="2" w:tplc="9A4825B8">
      <w:start w:val="1"/>
      <w:numFmt w:val="lowerRoman"/>
      <w:lvlText w:val="%3."/>
      <w:lvlJc w:val="right"/>
      <w:pPr>
        <w:ind w:left="2160" w:hanging="180"/>
      </w:pPr>
    </w:lvl>
    <w:lvl w:ilvl="3" w:tplc="8FBA5960">
      <w:start w:val="1"/>
      <w:numFmt w:val="decimal"/>
      <w:lvlText w:val="%4."/>
      <w:lvlJc w:val="left"/>
      <w:pPr>
        <w:ind w:left="2880" w:hanging="360"/>
      </w:pPr>
    </w:lvl>
    <w:lvl w:ilvl="4" w:tplc="13DC39C6">
      <w:start w:val="1"/>
      <w:numFmt w:val="lowerLetter"/>
      <w:lvlText w:val="%5."/>
      <w:lvlJc w:val="left"/>
      <w:pPr>
        <w:ind w:left="3600" w:hanging="360"/>
      </w:pPr>
    </w:lvl>
    <w:lvl w:ilvl="5" w:tplc="AECC4AA2">
      <w:start w:val="1"/>
      <w:numFmt w:val="lowerRoman"/>
      <w:lvlText w:val="%6."/>
      <w:lvlJc w:val="right"/>
      <w:pPr>
        <w:ind w:left="4320" w:hanging="180"/>
      </w:pPr>
    </w:lvl>
    <w:lvl w:ilvl="6" w:tplc="AECE8E78">
      <w:start w:val="1"/>
      <w:numFmt w:val="decimal"/>
      <w:lvlText w:val="%7."/>
      <w:lvlJc w:val="left"/>
      <w:pPr>
        <w:ind w:left="5040" w:hanging="360"/>
      </w:pPr>
    </w:lvl>
    <w:lvl w:ilvl="7" w:tplc="19D2FDD4">
      <w:start w:val="1"/>
      <w:numFmt w:val="lowerLetter"/>
      <w:lvlText w:val="%8."/>
      <w:lvlJc w:val="left"/>
      <w:pPr>
        <w:ind w:left="5760" w:hanging="360"/>
      </w:pPr>
    </w:lvl>
    <w:lvl w:ilvl="8" w:tplc="6B2ACA36">
      <w:start w:val="1"/>
      <w:numFmt w:val="lowerRoman"/>
      <w:lvlText w:val="%9."/>
      <w:lvlJc w:val="right"/>
      <w:pPr>
        <w:ind w:left="6480" w:hanging="180"/>
      </w:pPr>
    </w:lvl>
  </w:abstractNum>
  <w:abstractNum w:abstractNumId="23" w15:restartNumberingAfterBreak="0">
    <w:nsid w:val="71D950FA"/>
    <w:multiLevelType w:val="hybridMultilevel"/>
    <w:tmpl w:val="C2048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0F5B14"/>
    <w:multiLevelType w:val="hybridMultilevel"/>
    <w:tmpl w:val="1A42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85C58"/>
    <w:multiLevelType w:val="hybridMultilevel"/>
    <w:tmpl w:val="E4D6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50BE8"/>
    <w:multiLevelType w:val="hybridMultilevel"/>
    <w:tmpl w:val="FABA38DC"/>
    <w:lvl w:ilvl="0" w:tplc="0C090001">
      <w:start w:val="1"/>
      <w:numFmt w:val="bullet"/>
      <w:lvlText w:val=""/>
      <w:lvlJc w:val="left"/>
      <w:pPr>
        <w:ind w:left="315"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7" w15:restartNumberingAfterBreak="0">
    <w:nsid w:val="7CF222AE"/>
    <w:multiLevelType w:val="hybridMultilevel"/>
    <w:tmpl w:val="70C2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9D3209"/>
    <w:multiLevelType w:val="hybridMultilevel"/>
    <w:tmpl w:val="7E28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04218"/>
    <w:multiLevelType w:val="hybridMultilevel"/>
    <w:tmpl w:val="028ACB82"/>
    <w:lvl w:ilvl="0" w:tplc="5CBC08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num w:numId="1">
    <w:abstractNumId w:val="4"/>
  </w:num>
  <w:num w:numId="2">
    <w:abstractNumId w:val="19"/>
  </w:num>
  <w:num w:numId="3">
    <w:abstractNumId w:val="22"/>
  </w:num>
  <w:num w:numId="4">
    <w:abstractNumId w:val="6"/>
  </w:num>
  <w:num w:numId="5">
    <w:abstractNumId w:val="2"/>
  </w:num>
  <w:num w:numId="6">
    <w:abstractNumId w:val="29"/>
  </w:num>
  <w:num w:numId="7">
    <w:abstractNumId w:val="1"/>
  </w:num>
  <w:num w:numId="8">
    <w:abstractNumId w:val="14"/>
  </w:num>
  <w:num w:numId="9">
    <w:abstractNumId w:val="20"/>
  </w:num>
  <w:num w:numId="10">
    <w:abstractNumId w:val="16"/>
  </w:num>
  <w:num w:numId="11">
    <w:abstractNumId w:val="12"/>
  </w:num>
  <w:num w:numId="12">
    <w:abstractNumId w:val="3"/>
  </w:num>
  <w:num w:numId="13">
    <w:abstractNumId w:val="13"/>
  </w:num>
  <w:num w:numId="14">
    <w:abstractNumId w:val="24"/>
  </w:num>
  <w:num w:numId="15">
    <w:abstractNumId w:val="18"/>
  </w:num>
  <w:num w:numId="16">
    <w:abstractNumId w:val="28"/>
  </w:num>
  <w:num w:numId="17">
    <w:abstractNumId w:val="17"/>
  </w:num>
  <w:num w:numId="18">
    <w:abstractNumId w:val="27"/>
  </w:num>
  <w:num w:numId="19">
    <w:abstractNumId w:val="9"/>
  </w:num>
  <w:num w:numId="20">
    <w:abstractNumId w:val="26"/>
  </w:num>
  <w:num w:numId="21">
    <w:abstractNumId w:val="5"/>
  </w:num>
  <w:num w:numId="22">
    <w:abstractNumId w:val="25"/>
  </w:num>
  <w:num w:numId="23">
    <w:abstractNumId w:val="0"/>
  </w:num>
  <w:num w:numId="24">
    <w:abstractNumId w:val="23"/>
  </w:num>
  <w:num w:numId="25">
    <w:abstractNumId w:val="11"/>
  </w:num>
  <w:num w:numId="26">
    <w:abstractNumId w:val="7"/>
  </w:num>
  <w:num w:numId="27">
    <w:abstractNumId w:val="8"/>
  </w:num>
  <w:num w:numId="28">
    <w:abstractNumId w:val="10"/>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D3"/>
    <w:rsid w:val="000038B6"/>
    <w:rsid w:val="00004205"/>
    <w:rsid w:val="00005B69"/>
    <w:rsid w:val="000119E4"/>
    <w:rsid w:val="0001689E"/>
    <w:rsid w:val="00020FBA"/>
    <w:rsid w:val="00023EAC"/>
    <w:rsid w:val="00027E36"/>
    <w:rsid w:val="00031F5F"/>
    <w:rsid w:val="000330D5"/>
    <w:rsid w:val="0003319A"/>
    <w:rsid w:val="0003337E"/>
    <w:rsid w:val="0003529F"/>
    <w:rsid w:val="00036ACC"/>
    <w:rsid w:val="00036B0E"/>
    <w:rsid w:val="00041C15"/>
    <w:rsid w:val="000427E5"/>
    <w:rsid w:val="00042F63"/>
    <w:rsid w:val="000455B4"/>
    <w:rsid w:val="00050127"/>
    <w:rsid w:val="00051FA9"/>
    <w:rsid w:val="00053BC8"/>
    <w:rsid w:val="0005411F"/>
    <w:rsid w:val="00054DD9"/>
    <w:rsid w:val="00057C43"/>
    <w:rsid w:val="0006197A"/>
    <w:rsid w:val="0006353E"/>
    <w:rsid w:val="00064FEE"/>
    <w:rsid w:val="00065001"/>
    <w:rsid w:val="000664CD"/>
    <w:rsid w:val="00072EBB"/>
    <w:rsid w:val="0007416A"/>
    <w:rsid w:val="000743AF"/>
    <w:rsid w:val="000753D8"/>
    <w:rsid w:val="00075A9E"/>
    <w:rsid w:val="00076BD8"/>
    <w:rsid w:val="00076E6B"/>
    <w:rsid w:val="00077724"/>
    <w:rsid w:val="00077B30"/>
    <w:rsid w:val="00082DBB"/>
    <w:rsid w:val="00083CF1"/>
    <w:rsid w:val="00083F7F"/>
    <w:rsid w:val="00085CA0"/>
    <w:rsid w:val="00086225"/>
    <w:rsid w:val="0008648E"/>
    <w:rsid w:val="000937C9"/>
    <w:rsid w:val="00095F35"/>
    <w:rsid w:val="00097FD5"/>
    <w:rsid w:val="000A0F0B"/>
    <w:rsid w:val="000A0F4A"/>
    <w:rsid w:val="000A4228"/>
    <w:rsid w:val="000B0D10"/>
    <w:rsid w:val="000B764F"/>
    <w:rsid w:val="000C22BC"/>
    <w:rsid w:val="000D17EA"/>
    <w:rsid w:val="000D4A64"/>
    <w:rsid w:val="000D6821"/>
    <w:rsid w:val="000D72B6"/>
    <w:rsid w:val="000E0624"/>
    <w:rsid w:val="000E1ACE"/>
    <w:rsid w:val="000E5856"/>
    <w:rsid w:val="000E6753"/>
    <w:rsid w:val="000F3478"/>
    <w:rsid w:val="000F3B49"/>
    <w:rsid w:val="000F62ED"/>
    <w:rsid w:val="000F67B2"/>
    <w:rsid w:val="001002F5"/>
    <w:rsid w:val="001025E1"/>
    <w:rsid w:val="00105B0F"/>
    <w:rsid w:val="00107C86"/>
    <w:rsid w:val="00112A95"/>
    <w:rsid w:val="001154B7"/>
    <w:rsid w:val="00115D20"/>
    <w:rsid w:val="00116EE9"/>
    <w:rsid w:val="00117CE1"/>
    <w:rsid w:val="0012002D"/>
    <w:rsid w:val="00120A28"/>
    <w:rsid w:val="0012134B"/>
    <w:rsid w:val="00121F8B"/>
    <w:rsid w:val="00122C96"/>
    <w:rsid w:val="00122E9D"/>
    <w:rsid w:val="00125CDC"/>
    <w:rsid w:val="00125E4C"/>
    <w:rsid w:val="0013067D"/>
    <w:rsid w:val="00131838"/>
    <w:rsid w:val="0013621B"/>
    <w:rsid w:val="00136F92"/>
    <w:rsid w:val="001426B8"/>
    <w:rsid w:val="00144C8F"/>
    <w:rsid w:val="001500E5"/>
    <w:rsid w:val="00150CE0"/>
    <w:rsid w:val="00151324"/>
    <w:rsid w:val="00152206"/>
    <w:rsid w:val="00155332"/>
    <w:rsid w:val="00155BDD"/>
    <w:rsid w:val="00155E25"/>
    <w:rsid w:val="001573C3"/>
    <w:rsid w:val="00160226"/>
    <w:rsid w:val="00161F1E"/>
    <w:rsid w:val="00162FB9"/>
    <w:rsid w:val="0016354E"/>
    <w:rsid w:val="00163B15"/>
    <w:rsid w:val="00163DB9"/>
    <w:rsid w:val="001655F1"/>
    <w:rsid w:val="00165BFA"/>
    <w:rsid w:val="00165E6D"/>
    <w:rsid w:val="00166D64"/>
    <w:rsid w:val="00166FE7"/>
    <w:rsid w:val="001673C6"/>
    <w:rsid w:val="001677DD"/>
    <w:rsid w:val="00167EA9"/>
    <w:rsid w:val="00170A39"/>
    <w:rsid w:val="00170DEC"/>
    <w:rsid w:val="001718CE"/>
    <w:rsid w:val="001728AF"/>
    <w:rsid w:val="00172914"/>
    <w:rsid w:val="00172B52"/>
    <w:rsid w:val="001748F5"/>
    <w:rsid w:val="00180C3F"/>
    <w:rsid w:val="001839B3"/>
    <w:rsid w:val="0018494D"/>
    <w:rsid w:val="001901B6"/>
    <w:rsid w:val="00194204"/>
    <w:rsid w:val="00195A44"/>
    <w:rsid w:val="001A017D"/>
    <w:rsid w:val="001A04A0"/>
    <w:rsid w:val="001A344E"/>
    <w:rsid w:val="001A35B5"/>
    <w:rsid w:val="001A4152"/>
    <w:rsid w:val="001B44B1"/>
    <w:rsid w:val="001B47C5"/>
    <w:rsid w:val="001B669E"/>
    <w:rsid w:val="001B768D"/>
    <w:rsid w:val="001C0753"/>
    <w:rsid w:val="001C1805"/>
    <w:rsid w:val="001C4620"/>
    <w:rsid w:val="001C559F"/>
    <w:rsid w:val="001C58FE"/>
    <w:rsid w:val="001C6E0E"/>
    <w:rsid w:val="001C7419"/>
    <w:rsid w:val="001C7BD7"/>
    <w:rsid w:val="001D0CC8"/>
    <w:rsid w:val="001D31EA"/>
    <w:rsid w:val="001D5FCA"/>
    <w:rsid w:val="001E0358"/>
    <w:rsid w:val="001E39AF"/>
    <w:rsid w:val="001E4A5A"/>
    <w:rsid w:val="001E58C9"/>
    <w:rsid w:val="001E5FFC"/>
    <w:rsid w:val="001E6FB4"/>
    <w:rsid w:val="001F0C20"/>
    <w:rsid w:val="001F1D45"/>
    <w:rsid w:val="00200003"/>
    <w:rsid w:val="00204374"/>
    <w:rsid w:val="00204845"/>
    <w:rsid w:val="002059D1"/>
    <w:rsid w:val="00206B74"/>
    <w:rsid w:val="00207535"/>
    <w:rsid w:val="00221A04"/>
    <w:rsid w:val="00223DF1"/>
    <w:rsid w:val="00223F43"/>
    <w:rsid w:val="00224028"/>
    <w:rsid w:val="00227605"/>
    <w:rsid w:val="00230585"/>
    <w:rsid w:val="00232495"/>
    <w:rsid w:val="0023308E"/>
    <w:rsid w:val="00233ED4"/>
    <w:rsid w:val="002340AC"/>
    <w:rsid w:val="00237A6B"/>
    <w:rsid w:val="0024000D"/>
    <w:rsid w:val="002418B8"/>
    <w:rsid w:val="0024219E"/>
    <w:rsid w:val="00242214"/>
    <w:rsid w:val="00245034"/>
    <w:rsid w:val="00245071"/>
    <w:rsid w:val="00252F8D"/>
    <w:rsid w:val="0025315B"/>
    <w:rsid w:val="00255B47"/>
    <w:rsid w:val="002617FB"/>
    <w:rsid w:val="002629AF"/>
    <w:rsid w:val="00262AC4"/>
    <w:rsid w:val="00272530"/>
    <w:rsid w:val="00272E24"/>
    <w:rsid w:val="002734ED"/>
    <w:rsid w:val="002743EA"/>
    <w:rsid w:val="00280008"/>
    <w:rsid w:val="00280CBB"/>
    <w:rsid w:val="00280FDD"/>
    <w:rsid w:val="0028184D"/>
    <w:rsid w:val="00282C5E"/>
    <w:rsid w:val="00284A10"/>
    <w:rsid w:val="00284A1B"/>
    <w:rsid w:val="0028771D"/>
    <w:rsid w:val="00290CF8"/>
    <w:rsid w:val="00290D29"/>
    <w:rsid w:val="00291A33"/>
    <w:rsid w:val="002930C0"/>
    <w:rsid w:val="00293693"/>
    <w:rsid w:val="0029449D"/>
    <w:rsid w:val="00295570"/>
    <w:rsid w:val="002964FB"/>
    <w:rsid w:val="002979EA"/>
    <w:rsid w:val="002A1395"/>
    <w:rsid w:val="002A3143"/>
    <w:rsid w:val="002A38AC"/>
    <w:rsid w:val="002A3CB6"/>
    <w:rsid w:val="002A4A38"/>
    <w:rsid w:val="002B1054"/>
    <w:rsid w:val="002B22F2"/>
    <w:rsid w:val="002B23DC"/>
    <w:rsid w:val="002B3F57"/>
    <w:rsid w:val="002B4A4E"/>
    <w:rsid w:val="002B517A"/>
    <w:rsid w:val="002B6AB5"/>
    <w:rsid w:val="002C3A5E"/>
    <w:rsid w:val="002C4F5B"/>
    <w:rsid w:val="002C7A32"/>
    <w:rsid w:val="002D1269"/>
    <w:rsid w:val="002D1C96"/>
    <w:rsid w:val="002D2FE1"/>
    <w:rsid w:val="002D5868"/>
    <w:rsid w:val="002D5930"/>
    <w:rsid w:val="002D5CE0"/>
    <w:rsid w:val="002D69CD"/>
    <w:rsid w:val="002E2861"/>
    <w:rsid w:val="002E38CA"/>
    <w:rsid w:val="002E4AD0"/>
    <w:rsid w:val="002E583A"/>
    <w:rsid w:val="002E633F"/>
    <w:rsid w:val="002F01C3"/>
    <w:rsid w:val="002F3933"/>
    <w:rsid w:val="002F5460"/>
    <w:rsid w:val="002F75D0"/>
    <w:rsid w:val="002F7662"/>
    <w:rsid w:val="003003D6"/>
    <w:rsid w:val="00300CAB"/>
    <w:rsid w:val="003012F2"/>
    <w:rsid w:val="00303016"/>
    <w:rsid w:val="0030365D"/>
    <w:rsid w:val="00303BC7"/>
    <w:rsid w:val="00305C2A"/>
    <w:rsid w:val="00307D02"/>
    <w:rsid w:val="00312806"/>
    <w:rsid w:val="00313296"/>
    <w:rsid w:val="00320EB3"/>
    <w:rsid w:val="00321028"/>
    <w:rsid w:val="00324CA7"/>
    <w:rsid w:val="00324E14"/>
    <w:rsid w:val="00324EF4"/>
    <w:rsid w:val="00326331"/>
    <w:rsid w:val="00326F45"/>
    <w:rsid w:val="00327D4B"/>
    <w:rsid w:val="0033079D"/>
    <w:rsid w:val="003307B7"/>
    <w:rsid w:val="00330C9E"/>
    <w:rsid w:val="003326FA"/>
    <w:rsid w:val="00334144"/>
    <w:rsid w:val="003373B8"/>
    <w:rsid w:val="00337EEC"/>
    <w:rsid w:val="00341815"/>
    <w:rsid w:val="00341BAF"/>
    <w:rsid w:val="0034257C"/>
    <w:rsid w:val="003431D5"/>
    <w:rsid w:val="00345936"/>
    <w:rsid w:val="00347F8B"/>
    <w:rsid w:val="00350CDD"/>
    <w:rsid w:val="00351AD2"/>
    <w:rsid w:val="00353297"/>
    <w:rsid w:val="0035649E"/>
    <w:rsid w:val="003565DD"/>
    <w:rsid w:val="00361694"/>
    <w:rsid w:val="0036241A"/>
    <w:rsid w:val="003625EA"/>
    <w:rsid w:val="00363807"/>
    <w:rsid w:val="0036500B"/>
    <w:rsid w:val="003651FE"/>
    <w:rsid w:val="003660BC"/>
    <w:rsid w:val="0037021F"/>
    <w:rsid w:val="00372379"/>
    <w:rsid w:val="00372EFC"/>
    <w:rsid w:val="00373681"/>
    <w:rsid w:val="003762FE"/>
    <w:rsid w:val="00377867"/>
    <w:rsid w:val="00383176"/>
    <w:rsid w:val="0038348C"/>
    <w:rsid w:val="00383AA1"/>
    <w:rsid w:val="003845A0"/>
    <w:rsid w:val="00384E1C"/>
    <w:rsid w:val="003858F9"/>
    <w:rsid w:val="0038644F"/>
    <w:rsid w:val="003873FD"/>
    <w:rsid w:val="0038790E"/>
    <w:rsid w:val="0039074B"/>
    <w:rsid w:val="00390B09"/>
    <w:rsid w:val="00391803"/>
    <w:rsid w:val="00392D01"/>
    <w:rsid w:val="00393652"/>
    <w:rsid w:val="00394F31"/>
    <w:rsid w:val="003971B3"/>
    <w:rsid w:val="003A0393"/>
    <w:rsid w:val="003A28FD"/>
    <w:rsid w:val="003A3F86"/>
    <w:rsid w:val="003A4340"/>
    <w:rsid w:val="003A5005"/>
    <w:rsid w:val="003B0954"/>
    <w:rsid w:val="003B2466"/>
    <w:rsid w:val="003B3CE6"/>
    <w:rsid w:val="003B4BB1"/>
    <w:rsid w:val="003B5C78"/>
    <w:rsid w:val="003B6134"/>
    <w:rsid w:val="003B7A53"/>
    <w:rsid w:val="003C0A0F"/>
    <w:rsid w:val="003C0B17"/>
    <w:rsid w:val="003C1C48"/>
    <w:rsid w:val="003C1F3F"/>
    <w:rsid w:val="003C2270"/>
    <w:rsid w:val="003C29C9"/>
    <w:rsid w:val="003C2BAF"/>
    <w:rsid w:val="003C4FAC"/>
    <w:rsid w:val="003C6148"/>
    <w:rsid w:val="003C64B7"/>
    <w:rsid w:val="003C799C"/>
    <w:rsid w:val="003D08EE"/>
    <w:rsid w:val="003D1658"/>
    <w:rsid w:val="003D1D5E"/>
    <w:rsid w:val="003D2C4F"/>
    <w:rsid w:val="003D51EB"/>
    <w:rsid w:val="003D5C61"/>
    <w:rsid w:val="003E0BD0"/>
    <w:rsid w:val="003E0CC5"/>
    <w:rsid w:val="003E2492"/>
    <w:rsid w:val="003E28F5"/>
    <w:rsid w:val="003E4CA2"/>
    <w:rsid w:val="003E528A"/>
    <w:rsid w:val="003E7135"/>
    <w:rsid w:val="003F1F50"/>
    <w:rsid w:val="003F52F3"/>
    <w:rsid w:val="003F5571"/>
    <w:rsid w:val="004031A5"/>
    <w:rsid w:val="004065CB"/>
    <w:rsid w:val="004070F2"/>
    <w:rsid w:val="00407DC6"/>
    <w:rsid w:val="0041004B"/>
    <w:rsid w:val="004115E2"/>
    <w:rsid w:val="004121EF"/>
    <w:rsid w:val="0041485D"/>
    <w:rsid w:val="004155BA"/>
    <w:rsid w:val="00421E55"/>
    <w:rsid w:val="00424795"/>
    <w:rsid w:val="00426C04"/>
    <w:rsid w:val="004272D4"/>
    <w:rsid w:val="00427915"/>
    <w:rsid w:val="00432046"/>
    <w:rsid w:val="00432311"/>
    <w:rsid w:val="004323ED"/>
    <w:rsid w:val="00432C2C"/>
    <w:rsid w:val="004340E5"/>
    <w:rsid w:val="00435ACB"/>
    <w:rsid w:val="004409E5"/>
    <w:rsid w:val="00443AEF"/>
    <w:rsid w:val="00444B9F"/>
    <w:rsid w:val="00445A8F"/>
    <w:rsid w:val="00445FEF"/>
    <w:rsid w:val="00446B94"/>
    <w:rsid w:val="00450A1E"/>
    <w:rsid w:val="00454152"/>
    <w:rsid w:val="0045504C"/>
    <w:rsid w:val="00456082"/>
    <w:rsid w:val="004571F3"/>
    <w:rsid w:val="004577A3"/>
    <w:rsid w:val="00457F98"/>
    <w:rsid w:val="00460083"/>
    <w:rsid w:val="004603B3"/>
    <w:rsid w:val="004610F1"/>
    <w:rsid w:val="00461F69"/>
    <w:rsid w:val="0046231E"/>
    <w:rsid w:val="00463179"/>
    <w:rsid w:val="00466212"/>
    <w:rsid w:val="00466319"/>
    <w:rsid w:val="00466955"/>
    <w:rsid w:val="004714BB"/>
    <w:rsid w:val="004732FB"/>
    <w:rsid w:val="00476167"/>
    <w:rsid w:val="00481D98"/>
    <w:rsid w:val="00482655"/>
    <w:rsid w:val="004829B4"/>
    <w:rsid w:val="00484C62"/>
    <w:rsid w:val="004857BC"/>
    <w:rsid w:val="00491CED"/>
    <w:rsid w:val="00491E13"/>
    <w:rsid w:val="0049571E"/>
    <w:rsid w:val="0049689E"/>
    <w:rsid w:val="004A2FA7"/>
    <w:rsid w:val="004A35A9"/>
    <w:rsid w:val="004A4260"/>
    <w:rsid w:val="004A50D0"/>
    <w:rsid w:val="004A5D0B"/>
    <w:rsid w:val="004B4710"/>
    <w:rsid w:val="004B77DF"/>
    <w:rsid w:val="004C0F04"/>
    <w:rsid w:val="004C1CB2"/>
    <w:rsid w:val="004C21B0"/>
    <w:rsid w:val="004C2E54"/>
    <w:rsid w:val="004C3123"/>
    <w:rsid w:val="004C5A64"/>
    <w:rsid w:val="004C75AF"/>
    <w:rsid w:val="004C79C0"/>
    <w:rsid w:val="004D01AE"/>
    <w:rsid w:val="004D0581"/>
    <w:rsid w:val="004D0F81"/>
    <w:rsid w:val="004D1F30"/>
    <w:rsid w:val="004D3C13"/>
    <w:rsid w:val="004D3DEE"/>
    <w:rsid w:val="004D4C16"/>
    <w:rsid w:val="004D7A48"/>
    <w:rsid w:val="004D7E47"/>
    <w:rsid w:val="004E0DA2"/>
    <w:rsid w:val="004E1B12"/>
    <w:rsid w:val="004E24AB"/>
    <w:rsid w:val="004E2A38"/>
    <w:rsid w:val="004E479B"/>
    <w:rsid w:val="004E7188"/>
    <w:rsid w:val="004E7908"/>
    <w:rsid w:val="004E796C"/>
    <w:rsid w:val="004F0949"/>
    <w:rsid w:val="004F0DCD"/>
    <w:rsid w:val="004F1AD2"/>
    <w:rsid w:val="004F3CE6"/>
    <w:rsid w:val="004F4646"/>
    <w:rsid w:val="004F52A7"/>
    <w:rsid w:val="004F5C68"/>
    <w:rsid w:val="004F6D55"/>
    <w:rsid w:val="004F7801"/>
    <w:rsid w:val="00500DA5"/>
    <w:rsid w:val="005021AF"/>
    <w:rsid w:val="00502608"/>
    <w:rsid w:val="00503796"/>
    <w:rsid w:val="00510FAB"/>
    <w:rsid w:val="00512B3A"/>
    <w:rsid w:val="00513F9A"/>
    <w:rsid w:val="0051472A"/>
    <w:rsid w:val="0051535B"/>
    <w:rsid w:val="00515C8F"/>
    <w:rsid w:val="005171D7"/>
    <w:rsid w:val="005174B0"/>
    <w:rsid w:val="005208A5"/>
    <w:rsid w:val="00525F3D"/>
    <w:rsid w:val="00526467"/>
    <w:rsid w:val="00527691"/>
    <w:rsid w:val="00527E23"/>
    <w:rsid w:val="00530645"/>
    <w:rsid w:val="00533D6A"/>
    <w:rsid w:val="00535F08"/>
    <w:rsid w:val="0054096F"/>
    <w:rsid w:val="0054317B"/>
    <w:rsid w:val="005504A9"/>
    <w:rsid w:val="00557AD7"/>
    <w:rsid w:val="00561ED4"/>
    <w:rsid w:val="005623E2"/>
    <w:rsid w:val="00563771"/>
    <w:rsid w:val="0056506A"/>
    <w:rsid w:val="00566468"/>
    <w:rsid w:val="00567608"/>
    <w:rsid w:val="00571244"/>
    <w:rsid w:val="00571259"/>
    <w:rsid w:val="00576506"/>
    <w:rsid w:val="00576772"/>
    <w:rsid w:val="00581062"/>
    <w:rsid w:val="00583550"/>
    <w:rsid w:val="00583833"/>
    <w:rsid w:val="005838A9"/>
    <w:rsid w:val="00584D4D"/>
    <w:rsid w:val="00586189"/>
    <w:rsid w:val="00586F4E"/>
    <w:rsid w:val="005874C2"/>
    <w:rsid w:val="005901FD"/>
    <w:rsid w:val="00590CEF"/>
    <w:rsid w:val="00590E13"/>
    <w:rsid w:val="00597782"/>
    <w:rsid w:val="005978F3"/>
    <w:rsid w:val="005A2CCA"/>
    <w:rsid w:val="005A5042"/>
    <w:rsid w:val="005A7409"/>
    <w:rsid w:val="005B2D10"/>
    <w:rsid w:val="005B3912"/>
    <w:rsid w:val="005B425F"/>
    <w:rsid w:val="005B4E6C"/>
    <w:rsid w:val="005B551F"/>
    <w:rsid w:val="005B7745"/>
    <w:rsid w:val="005C27C4"/>
    <w:rsid w:val="005C3083"/>
    <w:rsid w:val="005C6397"/>
    <w:rsid w:val="005C7C0C"/>
    <w:rsid w:val="005D039D"/>
    <w:rsid w:val="005D04C9"/>
    <w:rsid w:val="005D3558"/>
    <w:rsid w:val="005D47F3"/>
    <w:rsid w:val="005D4949"/>
    <w:rsid w:val="005D6019"/>
    <w:rsid w:val="005D6DDB"/>
    <w:rsid w:val="005D7D68"/>
    <w:rsid w:val="005E0883"/>
    <w:rsid w:val="005E0F88"/>
    <w:rsid w:val="005E21A1"/>
    <w:rsid w:val="005F22A7"/>
    <w:rsid w:val="005F2F69"/>
    <w:rsid w:val="005F39B1"/>
    <w:rsid w:val="005F447E"/>
    <w:rsid w:val="005F6B1E"/>
    <w:rsid w:val="00602381"/>
    <w:rsid w:val="00602D45"/>
    <w:rsid w:val="006044DE"/>
    <w:rsid w:val="0060477F"/>
    <w:rsid w:val="0060574C"/>
    <w:rsid w:val="00606435"/>
    <w:rsid w:val="00613326"/>
    <w:rsid w:val="0061486E"/>
    <w:rsid w:val="0061567B"/>
    <w:rsid w:val="00621920"/>
    <w:rsid w:val="00621C67"/>
    <w:rsid w:val="00622B3F"/>
    <w:rsid w:val="00627655"/>
    <w:rsid w:val="00627A34"/>
    <w:rsid w:val="006309A1"/>
    <w:rsid w:val="00632FD8"/>
    <w:rsid w:val="00634D85"/>
    <w:rsid w:val="0064274F"/>
    <w:rsid w:val="00645189"/>
    <w:rsid w:val="00646545"/>
    <w:rsid w:val="00646D90"/>
    <w:rsid w:val="00662E10"/>
    <w:rsid w:val="006644D0"/>
    <w:rsid w:val="00664A47"/>
    <w:rsid w:val="00666514"/>
    <w:rsid w:val="006679B1"/>
    <w:rsid w:val="00671288"/>
    <w:rsid w:val="00671ABC"/>
    <w:rsid w:val="006733A4"/>
    <w:rsid w:val="00675B3F"/>
    <w:rsid w:val="00676B3A"/>
    <w:rsid w:val="00677049"/>
    <w:rsid w:val="00680068"/>
    <w:rsid w:val="0068191A"/>
    <w:rsid w:val="006837C3"/>
    <w:rsid w:val="00683A22"/>
    <w:rsid w:val="00684896"/>
    <w:rsid w:val="00685651"/>
    <w:rsid w:val="006867DA"/>
    <w:rsid w:val="00686D45"/>
    <w:rsid w:val="00691A0C"/>
    <w:rsid w:val="00691A8B"/>
    <w:rsid w:val="00692B69"/>
    <w:rsid w:val="006954AD"/>
    <w:rsid w:val="00696E0D"/>
    <w:rsid w:val="00697D39"/>
    <w:rsid w:val="00697ED1"/>
    <w:rsid w:val="006A08DB"/>
    <w:rsid w:val="006A0BF0"/>
    <w:rsid w:val="006A17E2"/>
    <w:rsid w:val="006A2288"/>
    <w:rsid w:val="006A3F16"/>
    <w:rsid w:val="006B0E65"/>
    <w:rsid w:val="006B2BFD"/>
    <w:rsid w:val="006B5653"/>
    <w:rsid w:val="006B6B5C"/>
    <w:rsid w:val="006B6D4F"/>
    <w:rsid w:val="006C0783"/>
    <w:rsid w:val="006C0B04"/>
    <w:rsid w:val="006C1C7C"/>
    <w:rsid w:val="006C1EDA"/>
    <w:rsid w:val="006C24AC"/>
    <w:rsid w:val="006C4CE2"/>
    <w:rsid w:val="006C6DD6"/>
    <w:rsid w:val="006D0614"/>
    <w:rsid w:val="006D0E36"/>
    <w:rsid w:val="006D4F50"/>
    <w:rsid w:val="006D5A1A"/>
    <w:rsid w:val="006D6236"/>
    <w:rsid w:val="006D779B"/>
    <w:rsid w:val="006E163B"/>
    <w:rsid w:val="006E3E3C"/>
    <w:rsid w:val="006E53AD"/>
    <w:rsid w:val="006E5E44"/>
    <w:rsid w:val="006E69DA"/>
    <w:rsid w:val="006E6FE6"/>
    <w:rsid w:val="006F173B"/>
    <w:rsid w:val="006F29B3"/>
    <w:rsid w:val="006F7998"/>
    <w:rsid w:val="00700122"/>
    <w:rsid w:val="007007AB"/>
    <w:rsid w:val="007014DF"/>
    <w:rsid w:val="00702DBD"/>
    <w:rsid w:val="00705DC2"/>
    <w:rsid w:val="00706CFF"/>
    <w:rsid w:val="00707AAC"/>
    <w:rsid w:val="00714B4E"/>
    <w:rsid w:val="00715730"/>
    <w:rsid w:val="007176B7"/>
    <w:rsid w:val="00717CF6"/>
    <w:rsid w:val="00717F1E"/>
    <w:rsid w:val="00720A7E"/>
    <w:rsid w:val="0072271D"/>
    <w:rsid w:val="00725BC4"/>
    <w:rsid w:val="00730CB3"/>
    <w:rsid w:val="0073111A"/>
    <w:rsid w:val="0073632D"/>
    <w:rsid w:val="00740347"/>
    <w:rsid w:val="00741639"/>
    <w:rsid w:val="0074418A"/>
    <w:rsid w:val="00750AF5"/>
    <w:rsid w:val="007518EA"/>
    <w:rsid w:val="00751F19"/>
    <w:rsid w:val="00752886"/>
    <w:rsid w:val="00756417"/>
    <w:rsid w:val="00756A80"/>
    <w:rsid w:val="00756AFD"/>
    <w:rsid w:val="00761622"/>
    <w:rsid w:val="00762829"/>
    <w:rsid w:val="0076506A"/>
    <w:rsid w:val="00770E98"/>
    <w:rsid w:val="0077106A"/>
    <w:rsid w:val="0077155C"/>
    <w:rsid w:val="00773DFE"/>
    <w:rsid w:val="007824DD"/>
    <w:rsid w:val="00782A22"/>
    <w:rsid w:val="00785319"/>
    <w:rsid w:val="00790003"/>
    <w:rsid w:val="00792DC8"/>
    <w:rsid w:val="00794063"/>
    <w:rsid w:val="0079503F"/>
    <w:rsid w:val="00796088"/>
    <w:rsid w:val="00797FA7"/>
    <w:rsid w:val="007A9727"/>
    <w:rsid w:val="007B022B"/>
    <w:rsid w:val="007C271B"/>
    <w:rsid w:val="007C2A00"/>
    <w:rsid w:val="007C49AC"/>
    <w:rsid w:val="007C7DED"/>
    <w:rsid w:val="007D06B5"/>
    <w:rsid w:val="007D0813"/>
    <w:rsid w:val="007D11F4"/>
    <w:rsid w:val="007D1704"/>
    <w:rsid w:val="007D1719"/>
    <w:rsid w:val="007D50A2"/>
    <w:rsid w:val="007D67A1"/>
    <w:rsid w:val="007D7CE2"/>
    <w:rsid w:val="007E01C5"/>
    <w:rsid w:val="007E3091"/>
    <w:rsid w:val="007E40A9"/>
    <w:rsid w:val="007E49A2"/>
    <w:rsid w:val="007E51A5"/>
    <w:rsid w:val="007F02BF"/>
    <w:rsid w:val="007F2AA6"/>
    <w:rsid w:val="007F429B"/>
    <w:rsid w:val="007F474F"/>
    <w:rsid w:val="007F4855"/>
    <w:rsid w:val="007F4AAC"/>
    <w:rsid w:val="007F5B76"/>
    <w:rsid w:val="007F652F"/>
    <w:rsid w:val="007F6FF1"/>
    <w:rsid w:val="007F72AA"/>
    <w:rsid w:val="0080101B"/>
    <w:rsid w:val="00801EF7"/>
    <w:rsid w:val="008030B2"/>
    <w:rsid w:val="00804246"/>
    <w:rsid w:val="00805337"/>
    <w:rsid w:val="008064A1"/>
    <w:rsid w:val="00806EC0"/>
    <w:rsid w:val="00807C21"/>
    <w:rsid w:val="008102EF"/>
    <w:rsid w:val="008114DA"/>
    <w:rsid w:val="00814817"/>
    <w:rsid w:val="00814EC7"/>
    <w:rsid w:val="00815366"/>
    <w:rsid w:val="00817738"/>
    <w:rsid w:val="00817F71"/>
    <w:rsid w:val="00824040"/>
    <w:rsid w:val="00824280"/>
    <w:rsid w:val="00824904"/>
    <w:rsid w:val="00827783"/>
    <w:rsid w:val="00827D83"/>
    <w:rsid w:val="00833933"/>
    <w:rsid w:val="00836F99"/>
    <w:rsid w:val="00840A9D"/>
    <w:rsid w:val="00840EF4"/>
    <w:rsid w:val="00843884"/>
    <w:rsid w:val="00843A1B"/>
    <w:rsid w:val="00843F8A"/>
    <w:rsid w:val="00844B09"/>
    <w:rsid w:val="00852D74"/>
    <w:rsid w:val="00855A4F"/>
    <w:rsid w:val="008579CA"/>
    <w:rsid w:val="00865138"/>
    <w:rsid w:val="00865BF9"/>
    <w:rsid w:val="00876D75"/>
    <w:rsid w:val="008775FB"/>
    <w:rsid w:val="0088414A"/>
    <w:rsid w:val="00884FD2"/>
    <w:rsid w:val="00884FEE"/>
    <w:rsid w:val="00892DF3"/>
    <w:rsid w:val="00894CF3"/>
    <w:rsid w:val="00895082"/>
    <w:rsid w:val="008A0919"/>
    <w:rsid w:val="008A38A6"/>
    <w:rsid w:val="008A70DE"/>
    <w:rsid w:val="008B304D"/>
    <w:rsid w:val="008C1E56"/>
    <w:rsid w:val="008C2BFB"/>
    <w:rsid w:val="008C3F7A"/>
    <w:rsid w:val="008C4FAA"/>
    <w:rsid w:val="008C5024"/>
    <w:rsid w:val="008C5DF1"/>
    <w:rsid w:val="008D6010"/>
    <w:rsid w:val="008D64F5"/>
    <w:rsid w:val="008D672A"/>
    <w:rsid w:val="008D6D8C"/>
    <w:rsid w:val="008D782E"/>
    <w:rsid w:val="008E047D"/>
    <w:rsid w:val="008E2CC6"/>
    <w:rsid w:val="008E3994"/>
    <w:rsid w:val="008E42AC"/>
    <w:rsid w:val="008E4302"/>
    <w:rsid w:val="008E6813"/>
    <w:rsid w:val="008E718A"/>
    <w:rsid w:val="008F10D1"/>
    <w:rsid w:val="008F5297"/>
    <w:rsid w:val="009005D2"/>
    <w:rsid w:val="00901476"/>
    <w:rsid w:val="009046DD"/>
    <w:rsid w:val="009059EB"/>
    <w:rsid w:val="00906446"/>
    <w:rsid w:val="009118AF"/>
    <w:rsid w:val="00914B3A"/>
    <w:rsid w:val="00916979"/>
    <w:rsid w:val="00916DAB"/>
    <w:rsid w:val="00916E2A"/>
    <w:rsid w:val="00921F4B"/>
    <w:rsid w:val="0092379F"/>
    <w:rsid w:val="0092402E"/>
    <w:rsid w:val="00925C89"/>
    <w:rsid w:val="00925DB9"/>
    <w:rsid w:val="00926697"/>
    <w:rsid w:val="00930EF5"/>
    <w:rsid w:val="00934CC2"/>
    <w:rsid w:val="009362D2"/>
    <w:rsid w:val="00941797"/>
    <w:rsid w:val="00941AAB"/>
    <w:rsid w:val="00942735"/>
    <w:rsid w:val="00944C7E"/>
    <w:rsid w:val="00947357"/>
    <w:rsid w:val="0095209A"/>
    <w:rsid w:val="009530D3"/>
    <w:rsid w:val="00955971"/>
    <w:rsid w:val="00962674"/>
    <w:rsid w:val="00963729"/>
    <w:rsid w:val="00963A06"/>
    <w:rsid w:val="00963A3F"/>
    <w:rsid w:val="009644AD"/>
    <w:rsid w:val="00965017"/>
    <w:rsid w:val="00966DDE"/>
    <w:rsid w:val="00967EB1"/>
    <w:rsid w:val="0097208C"/>
    <w:rsid w:val="00977DDC"/>
    <w:rsid w:val="00980BD8"/>
    <w:rsid w:val="00983182"/>
    <w:rsid w:val="009840CE"/>
    <w:rsid w:val="00985DF6"/>
    <w:rsid w:val="00987718"/>
    <w:rsid w:val="00991E71"/>
    <w:rsid w:val="00993818"/>
    <w:rsid w:val="00994D22"/>
    <w:rsid w:val="009A4B2A"/>
    <w:rsid w:val="009A6A23"/>
    <w:rsid w:val="009B026B"/>
    <w:rsid w:val="009B1AE5"/>
    <w:rsid w:val="009B2AC8"/>
    <w:rsid w:val="009B2D21"/>
    <w:rsid w:val="009B3D2A"/>
    <w:rsid w:val="009B457A"/>
    <w:rsid w:val="009B5269"/>
    <w:rsid w:val="009B7584"/>
    <w:rsid w:val="009B7A2C"/>
    <w:rsid w:val="009C17AC"/>
    <w:rsid w:val="009C1CB9"/>
    <w:rsid w:val="009C1FCF"/>
    <w:rsid w:val="009C37B0"/>
    <w:rsid w:val="009C5368"/>
    <w:rsid w:val="009C730F"/>
    <w:rsid w:val="009D13C6"/>
    <w:rsid w:val="009D290A"/>
    <w:rsid w:val="009D313F"/>
    <w:rsid w:val="009D3693"/>
    <w:rsid w:val="009D40A4"/>
    <w:rsid w:val="009D6BA0"/>
    <w:rsid w:val="009D7312"/>
    <w:rsid w:val="009D7470"/>
    <w:rsid w:val="009D7D90"/>
    <w:rsid w:val="009E24A5"/>
    <w:rsid w:val="009E284A"/>
    <w:rsid w:val="009E2DC4"/>
    <w:rsid w:val="009F017C"/>
    <w:rsid w:val="009F13AB"/>
    <w:rsid w:val="009F1738"/>
    <w:rsid w:val="009F1BF7"/>
    <w:rsid w:val="009F2DF5"/>
    <w:rsid w:val="009F37E8"/>
    <w:rsid w:val="009F688B"/>
    <w:rsid w:val="009F6E76"/>
    <w:rsid w:val="009F7621"/>
    <w:rsid w:val="009F780A"/>
    <w:rsid w:val="00A05D26"/>
    <w:rsid w:val="00A117E0"/>
    <w:rsid w:val="00A12F3F"/>
    <w:rsid w:val="00A1416C"/>
    <w:rsid w:val="00A15DB2"/>
    <w:rsid w:val="00A21105"/>
    <w:rsid w:val="00A21C16"/>
    <w:rsid w:val="00A22BCD"/>
    <w:rsid w:val="00A230D8"/>
    <w:rsid w:val="00A23879"/>
    <w:rsid w:val="00A26B3F"/>
    <w:rsid w:val="00A26D9E"/>
    <w:rsid w:val="00A3183D"/>
    <w:rsid w:val="00A3204F"/>
    <w:rsid w:val="00A32577"/>
    <w:rsid w:val="00A34763"/>
    <w:rsid w:val="00A36D3F"/>
    <w:rsid w:val="00A373C7"/>
    <w:rsid w:val="00A40002"/>
    <w:rsid w:val="00A402A4"/>
    <w:rsid w:val="00A4312D"/>
    <w:rsid w:val="00A43DDA"/>
    <w:rsid w:val="00A4585F"/>
    <w:rsid w:val="00A47C45"/>
    <w:rsid w:val="00A47E54"/>
    <w:rsid w:val="00A54984"/>
    <w:rsid w:val="00A56C21"/>
    <w:rsid w:val="00A56F17"/>
    <w:rsid w:val="00A62E55"/>
    <w:rsid w:val="00A62E90"/>
    <w:rsid w:val="00A654EC"/>
    <w:rsid w:val="00A66D1C"/>
    <w:rsid w:val="00A67A2A"/>
    <w:rsid w:val="00A70002"/>
    <w:rsid w:val="00A711F1"/>
    <w:rsid w:val="00A712C1"/>
    <w:rsid w:val="00A71FAF"/>
    <w:rsid w:val="00A73EB3"/>
    <w:rsid w:val="00A744CD"/>
    <w:rsid w:val="00A7687F"/>
    <w:rsid w:val="00A85250"/>
    <w:rsid w:val="00A85771"/>
    <w:rsid w:val="00A878F8"/>
    <w:rsid w:val="00A90DE1"/>
    <w:rsid w:val="00A94A73"/>
    <w:rsid w:val="00A94CD2"/>
    <w:rsid w:val="00A9543D"/>
    <w:rsid w:val="00AA26BC"/>
    <w:rsid w:val="00AA4269"/>
    <w:rsid w:val="00AA42E5"/>
    <w:rsid w:val="00AA6877"/>
    <w:rsid w:val="00AB1F08"/>
    <w:rsid w:val="00AB28DA"/>
    <w:rsid w:val="00AB30F9"/>
    <w:rsid w:val="00AB3620"/>
    <w:rsid w:val="00AB5644"/>
    <w:rsid w:val="00AB703B"/>
    <w:rsid w:val="00AC3763"/>
    <w:rsid w:val="00AC63BE"/>
    <w:rsid w:val="00AC64E3"/>
    <w:rsid w:val="00AC76B4"/>
    <w:rsid w:val="00AD6BF8"/>
    <w:rsid w:val="00AD7894"/>
    <w:rsid w:val="00AE05BE"/>
    <w:rsid w:val="00AE0FA3"/>
    <w:rsid w:val="00AF35D7"/>
    <w:rsid w:val="00AF4CC9"/>
    <w:rsid w:val="00AF561D"/>
    <w:rsid w:val="00AF69FD"/>
    <w:rsid w:val="00AF72A6"/>
    <w:rsid w:val="00AF746F"/>
    <w:rsid w:val="00B003E0"/>
    <w:rsid w:val="00B01C75"/>
    <w:rsid w:val="00B020B4"/>
    <w:rsid w:val="00B0415D"/>
    <w:rsid w:val="00B06F07"/>
    <w:rsid w:val="00B07B75"/>
    <w:rsid w:val="00B07B88"/>
    <w:rsid w:val="00B15664"/>
    <w:rsid w:val="00B16B24"/>
    <w:rsid w:val="00B209A3"/>
    <w:rsid w:val="00B22861"/>
    <w:rsid w:val="00B22D52"/>
    <w:rsid w:val="00B26F7E"/>
    <w:rsid w:val="00B32B5A"/>
    <w:rsid w:val="00B33ED1"/>
    <w:rsid w:val="00B34EA9"/>
    <w:rsid w:val="00B35117"/>
    <w:rsid w:val="00B37A05"/>
    <w:rsid w:val="00B4074E"/>
    <w:rsid w:val="00B4128C"/>
    <w:rsid w:val="00B43AA9"/>
    <w:rsid w:val="00B43FE6"/>
    <w:rsid w:val="00B44055"/>
    <w:rsid w:val="00B440D8"/>
    <w:rsid w:val="00B44348"/>
    <w:rsid w:val="00B47B0E"/>
    <w:rsid w:val="00B47D61"/>
    <w:rsid w:val="00B50606"/>
    <w:rsid w:val="00B53BBB"/>
    <w:rsid w:val="00B53D16"/>
    <w:rsid w:val="00B558BB"/>
    <w:rsid w:val="00B57035"/>
    <w:rsid w:val="00B574B0"/>
    <w:rsid w:val="00B5750E"/>
    <w:rsid w:val="00B57F59"/>
    <w:rsid w:val="00B602A2"/>
    <w:rsid w:val="00B60755"/>
    <w:rsid w:val="00B7246D"/>
    <w:rsid w:val="00B73C01"/>
    <w:rsid w:val="00B74BCD"/>
    <w:rsid w:val="00B82C06"/>
    <w:rsid w:val="00B84A2F"/>
    <w:rsid w:val="00B8521F"/>
    <w:rsid w:val="00B9129F"/>
    <w:rsid w:val="00B914A6"/>
    <w:rsid w:val="00B93508"/>
    <w:rsid w:val="00B9370F"/>
    <w:rsid w:val="00B937DE"/>
    <w:rsid w:val="00B947C8"/>
    <w:rsid w:val="00B961B3"/>
    <w:rsid w:val="00B96625"/>
    <w:rsid w:val="00BA06A2"/>
    <w:rsid w:val="00BA1728"/>
    <w:rsid w:val="00BA3E1C"/>
    <w:rsid w:val="00BA4732"/>
    <w:rsid w:val="00BA57E2"/>
    <w:rsid w:val="00BA658E"/>
    <w:rsid w:val="00BB0F37"/>
    <w:rsid w:val="00BB5A45"/>
    <w:rsid w:val="00BC1BC9"/>
    <w:rsid w:val="00BC69D5"/>
    <w:rsid w:val="00BD0DF6"/>
    <w:rsid w:val="00BD18A1"/>
    <w:rsid w:val="00BD4533"/>
    <w:rsid w:val="00BD5885"/>
    <w:rsid w:val="00BD5A38"/>
    <w:rsid w:val="00BD60FC"/>
    <w:rsid w:val="00BE0AB6"/>
    <w:rsid w:val="00BE1E89"/>
    <w:rsid w:val="00BE2C22"/>
    <w:rsid w:val="00BE3110"/>
    <w:rsid w:val="00BE3E3F"/>
    <w:rsid w:val="00BE454B"/>
    <w:rsid w:val="00BE67CF"/>
    <w:rsid w:val="00BF5986"/>
    <w:rsid w:val="00BF6CA7"/>
    <w:rsid w:val="00C0062F"/>
    <w:rsid w:val="00C026B3"/>
    <w:rsid w:val="00C02A1E"/>
    <w:rsid w:val="00C067DB"/>
    <w:rsid w:val="00C072F8"/>
    <w:rsid w:val="00C07D14"/>
    <w:rsid w:val="00C12ADB"/>
    <w:rsid w:val="00C15322"/>
    <w:rsid w:val="00C179DE"/>
    <w:rsid w:val="00C17CA3"/>
    <w:rsid w:val="00C20594"/>
    <w:rsid w:val="00C2181F"/>
    <w:rsid w:val="00C222B0"/>
    <w:rsid w:val="00C23021"/>
    <w:rsid w:val="00C23696"/>
    <w:rsid w:val="00C26654"/>
    <w:rsid w:val="00C30D14"/>
    <w:rsid w:val="00C343D1"/>
    <w:rsid w:val="00C3627E"/>
    <w:rsid w:val="00C36954"/>
    <w:rsid w:val="00C37F7B"/>
    <w:rsid w:val="00C46CFA"/>
    <w:rsid w:val="00C476E2"/>
    <w:rsid w:val="00C52D4D"/>
    <w:rsid w:val="00C52EAA"/>
    <w:rsid w:val="00C56C64"/>
    <w:rsid w:val="00C574B9"/>
    <w:rsid w:val="00C61A4A"/>
    <w:rsid w:val="00C621A2"/>
    <w:rsid w:val="00C6274D"/>
    <w:rsid w:val="00C642CC"/>
    <w:rsid w:val="00C677D0"/>
    <w:rsid w:val="00C729FB"/>
    <w:rsid w:val="00C72CC3"/>
    <w:rsid w:val="00C74B7A"/>
    <w:rsid w:val="00C74EF2"/>
    <w:rsid w:val="00C7516D"/>
    <w:rsid w:val="00C75E6E"/>
    <w:rsid w:val="00C76494"/>
    <w:rsid w:val="00C76714"/>
    <w:rsid w:val="00C8235C"/>
    <w:rsid w:val="00C83727"/>
    <w:rsid w:val="00C8385A"/>
    <w:rsid w:val="00C83BA8"/>
    <w:rsid w:val="00C8477F"/>
    <w:rsid w:val="00C850C3"/>
    <w:rsid w:val="00C85E9F"/>
    <w:rsid w:val="00C87D62"/>
    <w:rsid w:val="00CA32E5"/>
    <w:rsid w:val="00CB0676"/>
    <w:rsid w:val="00CB17F5"/>
    <w:rsid w:val="00CB2BD3"/>
    <w:rsid w:val="00CC1BAE"/>
    <w:rsid w:val="00CC30F0"/>
    <w:rsid w:val="00CC55D7"/>
    <w:rsid w:val="00CC6E1B"/>
    <w:rsid w:val="00CC70CE"/>
    <w:rsid w:val="00CC79AB"/>
    <w:rsid w:val="00CD220D"/>
    <w:rsid w:val="00CD31BC"/>
    <w:rsid w:val="00CD3332"/>
    <w:rsid w:val="00CD35B7"/>
    <w:rsid w:val="00CD38CC"/>
    <w:rsid w:val="00CD4AC2"/>
    <w:rsid w:val="00CD5B71"/>
    <w:rsid w:val="00CD5D76"/>
    <w:rsid w:val="00CD69FC"/>
    <w:rsid w:val="00CE0678"/>
    <w:rsid w:val="00CE319C"/>
    <w:rsid w:val="00CE4386"/>
    <w:rsid w:val="00CE6DDC"/>
    <w:rsid w:val="00D0217B"/>
    <w:rsid w:val="00D02F6D"/>
    <w:rsid w:val="00D03F55"/>
    <w:rsid w:val="00D04006"/>
    <w:rsid w:val="00D062B2"/>
    <w:rsid w:val="00D10254"/>
    <w:rsid w:val="00D12E6F"/>
    <w:rsid w:val="00D15E39"/>
    <w:rsid w:val="00D2244A"/>
    <w:rsid w:val="00D2258F"/>
    <w:rsid w:val="00D252F5"/>
    <w:rsid w:val="00D25EEB"/>
    <w:rsid w:val="00D2626A"/>
    <w:rsid w:val="00D30E39"/>
    <w:rsid w:val="00D32E0E"/>
    <w:rsid w:val="00D34906"/>
    <w:rsid w:val="00D34ECD"/>
    <w:rsid w:val="00D37BF7"/>
    <w:rsid w:val="00D37DF2"/>
    <w:rsid w:val="00D40608"/>
    <w:rsid w:val="00D40629"/>
    <w:rsid w:val="00D46268"/>
    <w:rsid w:val="00D47A30"/>
    <w:rsid w:val="00D47B5F"/>
    <w:rsid w:val="00D510CE"/>
    <w:rsid w:val="00D52350"/>
    <w:rsid w:val="00D5574B"/>
    <w:rsid w:val="00D606F0"/>
    <w:rsid w:val="00D62135"/>
    <w:rsid w:val="00D63BEA"/>
    <w:rsid w:val="00D64BFF"/>
    <w:rsid w:val="00D64F5D"/>
    <w:rsid w:val="00D65BBE"/>
    <w:rsid w:val="00D662D9"/>
    <w:rsid w:val="00D67595"/>
    <w:rsid w:val="00D675B5"/>
    <w:rsid w:val="00D720EA"/>
    <w:rsid w:val="00D746BE"/>
    <w:rsid w:val="00D74A21"/>
    <w:rsid w:val="00D8212D"/>
    <w:rsid w:val="00D82204"/>
    <w:rsid w:val="00D84DA1"/>
    <w:rsid w:val="00D91695"/>
    <w:rsid w:val="00D94D43"/>
    <w:rsid w:val="00D9627C"/>
    <w:rsid w:val="00D970D8"/>
    <w:rsid w:val="00D97A4E"/>
    <w:rsid w:val="00D97A53"/>
    <w:rsid w:val="00DA0BF4"/>
    <w:rsid w:val="00DA1EDB"/>
    <w:rsid w:val="00DA2512"/>
    <w:rsid w:val="00DB1105"/>
    <w:rsid w:val="00DB24F1"/>
    <w:rsid w:val="00DB2763"/>
    <w:rsid w:val="00DB4E1C"/>
    <w:rsid w:val="00DB7CC2"/>
    <w:rsid w:val="00DC0101"/>
    <w:rsid w:val="00DC0167"/>
    <w:rsid w:val="00DC2195"/>
    <w:rsid w:val="00DC35E3"/>
    <w:rsid w:val="00DC3E9C"/>
    <w:rsid w:val="00DC3F71"/>
    <w:rsid w:val="00DD2382"/>
    <w:rsid w:val="00DD473B"/>
    <w:rsid w:val="00DD6558"/>
    <w:rsid w:val="00DE0490"/>
    <w:rsid w:val="00DE0CDC"/>
    <w:rsid w:val="00DE22C2"/>
    <w:rsid w:val="00DE3A93"/>
    <w:rsid w:val="00DE3B03"/>
    <w:rsid w:val="00DE7212"/>
    <w:rsid w:val="00DE7ECC"/>
    <w:rsid w:val="00DF1010"/>
    <w:rsid w:val="00DF3782"/>
    <w:rsid w:val="00DF462B"/>
    <w:rsid w:val="00DF524C"/>
    <w:rsid w:val="00DF5C94"/>
    <w:rsid w:val="00DF5E5C"/>
    <w:rsid w:val="00DF6E49"/>
    <w:rsid w:val="00DF7467"/>
    <w:rsid w:val="00DF7672"/>
    <w:rsid w:val="00DF7BB9"/>
    <w:rsid w:val="00E0006A"/>
    <w:rsid w:val="00E01C58"/>
    <w:rsid w:val="00E04455"/>
    <w:rsid w:val="00E0459F"/>
    <w:rsid w:val="00E078E8"/>
    <w:rsid w:val="00E11FFE"/>
    <w:rsid w:val="00E12934"/>
    <w:rsid w:val="00E13B54"/>
    <w:rsid w:val="00E141BA"/>
    <w:rsid w:val="00E15106"/>
    <w:rsid w:val="00E155BE"/>
    <w:rsid w:val="00E1588C"/>
    <w:rsid w:val="00E15CB5"/>
    <w:rsid w:val="00E16599"/>
    <w:rsid w:val="00E16982"/>
    <w:rsid w:val="00E16A8D"/>
    <w:rsid w:val="00E2036C"/>
    <w:rsid w:val="00E2171F"/>
    <w:rsid w:val="00E21EE0"/>
    <w:rsid w:val="00E25F54"/>
    <w:rsid w:val="00E273C9"/>
    <w:rsid w:val="00E31D01"/>
    <w:rsid w:val="00E32B01"/>
    <w:rsid w:val="00E34789"/>
    <w:rsid w:val="00E356EB"/>
    <w:rsid w:val="00E367C8"/>
    <w:rsid w:val="00E36C2A"/>
    <w:rsid w:val="00E376E9"/>
    <w:rsid w:val="00E43351"/>
    <w:rsid w:val="00E43911"/>
    <w:rsid w:val="00E43D11"/>
    <w:rsid w:val="00E469F6"/>
    <w:rsid w:val="00E46D07"/>
    <w:rsid w:val="00E473CD"/>
    <w:rsid w:val="00E51B9A"/>
    <w:rsid w:val="00E5237C"/>
    <w:rsid w:val="00E547B3"/>
    <w:rsid w:val="00E5583A"/>
    <w:rsid w:val="00E63D1E"/>
    <w:rsid w:val="00E711EA"/>
    <w:rsid w:val="00E72045"/>
    <w:rsid w:val="00E7406D"/>
    <w:rsid w:val="00E7666D"/>
    <w:rsid w:val="00E7696E"/>
    <w:rsid w:val="00E824D7"/>
    <w:rsid w:val="00E83A01"/>
    <w:rsid w:val="00E85870"/>
    <w:rsid w:val="00E86587"/>
    <w:rsid w:val="00E8787F"/>
    <w:rsid w:val="00E87F33"/>
    <w:rsid w:val="00E913D4"/>
    <w:rsid w:val="00E914C4"/>
    <w:rsid w:val="00E92D3B"/>
    <w:rsid w:val="00E95E1D"/>
    <w:rsid w:val="00E96737"/>
    <w:rsid w:val="00EA23DB"/>
    <w:rsid w:val="00EA2D40"/>
    <w:rsid w:val="00EA4DF8"/>
    <w:rsid w:val="00EA576E"/>
    <w:rsid w:val="00EA7605"/>
    <w:rsid w:val="00EB0753"/>
    <w:rsid w:val="00EB0CFB"/>
    <w:rsid w:val="00EB5D6A"/>
    <w:rsid w:val="00EB752D"/>
    <w:rsid w:val="00EC0CB1"/>
    <w:rsid w:val="00EC1E19"/>
    <w:rsid w:val="00EC2CE3"/>
    <w:rsid w:val="00EC42C9"/>
    <w:rsid w:val="00EC680C"/>
    <w:rsid w:val="00ED08A3"/>
    <w:rsid w:val="00ED1CF8"/>
    <w:rsid w:val="00ED4DFC"/>
    <w:rsid w:val="00ED638E"/>
    <w:rsid w:val="00ED74D4"/>
    <w:rsid w:val="00EE0529"/>
    <w:rsid w:val="00EE2CF5"/>
    <w:rsid w:val="00EE4FEE"/>
    <w:rsid w:val="00EE5049"/>
    <w:rsid w:val="00EE5437"/>
    <w:rsid w:val="00EE6278"/>
    <w:rsid w:val="00EF353C"/>
    <w:rsid w:val="00F0183C"/>
    <w:rsid w:val="00F020F9"/>
    <w:rsid w:val="00F022A7"/>
    <w:rsid w:val="00F037A0"/>
    <w:rsid w:val="00F04AC7"/>
    <w:rsid w:val="00F04D6B"/>
    <w:rsid w:val="00F05A78"/>
    <w:rsid w:val="00F05C2C"/>
    <w:rsid w:val="00F062B7"/>
    <w:rsid w:val="00F100EF"/>
    <w:rsid w:val="00F116B5"/>
    <w:rsid w:val="00F128CB"/>
    <w:rsid w:val="00F13C2D"/>
    <w:rsid w:val="00F13E33"/>
    <w:rsid w:val="00F14DFD"/>
    <w:rsid w:val="00F209DF"/>
    <w:rsid w:val="00F22822"/>
    <w:rsid w:val="00F22D36"/>
    <w:rsid w:val="00F22DB4"/>
    <w:rsid w:val="00F23015"/>
    <w:rsid w:val="00F24D70"/>
    <w:rsid w:val="00F30BB8"/>
    <w:rsid w:val="00F3114F"/>
    <w:rsid w:val="00F32C1D"/>
    <w:rsid w:val="00F3422F"/>
    <w:rsid w:val="00F3493E"/>
    <w:rsid w:val="00F35A5F"/>
    <w:rsid w:val="00F35DB0"/>
    <w:rsid w:val="00F40ACF"/>
    <w:rsid w:val="00F40DA3"/>
    <w:rsid w:val="00F41BE8"/>
    <w:rsid w:val="00F421CB"/>
    <w:rsid w:val="00F43B8C"/>
    <w:rsid w:val="00F45931"/>
    <w:rsid w:val="00F47DCE"/>
    <w:rsid w:val="00F500B6"/>
    <w:rsid w:val="00F513D6"/>
    <w:rsid w:val="00F51875"/>
    <w:rsid w:val="00F52F5E"/>
    <w:rsid w:val="00F53884"/>
    <w:rsid w:val="00F54754"/>
    <w:rsid w:val="00F54D74"/>
    <w:rsid w:val="00F55E52"/>
    <w:rsid w:val="00F57B73"/>
    <w:rsid w:val="00F600E0"/>
    <w:rsid w:val="00F6037C"/>
    <w:rsid w:val="00F6109C"/>
    <w:rsid w:val="00F63955"/>
    <w:rsid w:val="00F66200"/>
    <w:rsid w:val="00F66639"/>
    <w:rsid w:val="00F67CE2"/>
    <w:rsid w:val="00F67DF4"/>
    <w:rsid w:val="00F74294"/>
    <w:rsid w:val="00F74FE0"/>
    <w:rsid w:val="00F818E8"/>
    <w:rsid w:val="00F82A7E"/>
    <w:rsid w:val="00F84099"/>
    <w:rsid w:val="00F8472E"/>
    <w:rsid w:val="00F84C36"/>
    <w:rsid w:val="00F858CE"/>
    <w:rsid w:val="00F85D91"/>
    <w:rsid w:val="00F85E32"/>
    <w:rsid w:val="00F9093A"/>
    <w:rsid w:val="00F91CF3"/>
    <w:rsid w:val="00F91DF1"/>
    <w:rsid w:val="00F92015"/>
    <w:rsid w:val="00F94537"/>
    <w:rsid w:val="00F965B7"/>
    <w:rsid w:val="00F96C45"/>
    <w:rsid w:val="00F972CE"/>
    <w:rsid w:val="00F97AED"/>
    <w:rsid w:val="00FA1908"/>
    <w:rsid w:val="00FA4955"/>
    <w:rsid w:val="00FA523E"/>
    <w:rsid w:val="00FB2BFC"/>
    <w:rsid w:val="00FB2C07"/>
    <w:rsid w:val="00FB3D20"/>
    <w:rsid w:val="00FB4C13"/>
    <w:rsid w:val="00FB56AF"/>
    <w:rsid w:val="00FB5E69"/>
    <w:rsid w:val="00FB654D"/>
    <w:rsid w:val="00FB7580"/>
    <w:rsid w:val="00FB7DAB"/>
    <w:rsid w:val="00FC2040"/>
    <w:rsid w:val="00FC25FE"/>
    <w:rsid w:val="00FC4578"/>
    <w:rsid w:val="00FD0265"/>
    <w:rsid w:val="00FD083C"/>
    <w:rsid w:val="00FD1374"/>
    <w:rsid w:val="00FD163D"/>
    <w:rsid w:val="00FD528F"/>
    <w:rsid w:val="00FD53F0"/>
    <w:rsid w:val="00FD69AF"/>
    <w:rsid w:val="00FD79C7"/>
    <w:rsid w:val="00FE17CB"/>
    <w:rsid w:val="00FE57D5"/>
    <w:rsid w:val="00FF18C9"/>
    <w:rsid w:val="00FF2FB6"/>
    <w:rsid w:val="00FF4DDF"/>
    <w:rsid w:val="00FF526F"/>
    <w:rsid w:val="00FF5630"/>
    <w:rsid w:val="00FF6EAF"/>
    <w:rsid w:val="00FF70CF"/>
    <w:rsid w:val="03FCC6C1"/>
    <w:rsid w:val="057126E8"/>
    <w:rsid w:val="07C6A28F"/>
    <w:rsid w:val="086A068E"/>
    <w:rsid w:val="08FCAD1D"/>
    <w:rsid w:val="09323E34"/>
    <w:rsid w:val="096FAEF4"/>
    <w:rsid w:val="098F699B"/>
    <w:rsid w:val="0B16C62C"/>
    <w:rsid w:val="0BB95119"/>
    <w:rsid w:val="0BDB0CB7"/>
    <w:rsid w:val="0C38C8BF"/>
    <w:rsid w:val="0C90A864"/>
    <w:rsid w:val="0CB666FE"/>
    <w:rsid w:val="0D0D9487"/>
    <w:rsid w:val="0D4C5345"/>
    <w:rsid w:val="0DB568DB"/>
    <w:rsid w:val="0DC9C1DD"/>
    <w:rsid w:val="107C5C73"/>
    <w:rsid w:val="10EDB49F"/>
    <w:rsid w:val="1101C25D"/>
    <w:rsid w:val="1127B06F"/>
    <w:rsid w:val="12854EF2"/>
    <w:rsid w:val="12C9D3E8"/>
    <w:rsid w:val="1303F2C5"/>
    <w:rsid w:val="160B1C66"/>
    <w:rsid w:val="16467214"/>
    <w:rsid w:val="167EE853"/>
    <w:rsid w:val="16A1883A"/>
    <w:rsid w:val="16F0F969"/>
    <w:rsid w:val="17055D0E"/>
    <w:rsid w:val="17F5C67D"/>
    <w:rsid w:val="198BFCE3"/>
    <w:rsid w:val="1ACBA85C"/>
    <w:rsid w:val="1B89C8A0"/>
    <w:rsid w:val="1BB562FE"/>
    <w:rsid w:val="1C347BEF"/>
    <w:rsid w:val="1CEEDDF4"/>
    <w:rsid w:val="1D500211"/>
    <w:rsid w:val="1DA282C6"/>
    <w:rsid w:val="1E317518"/>
    <w:rsid w:val="1E48AA73"/>
    <w:rsid w:val="1ED7AE32"/>
    <w:rsid w:val="205CA668"/>
    <w:rsid w:val="23365F28"/>
    <w:rsid w:val="2392477E"/>
    <w:rsid w:val="241CC1F2"/>
    <w:rsid w:val="2561B2A6"/>
    <w:rsid w:val="25FF1753"/>
    <w:rsid w:val="262BB5F6"/>
    <w:rsid w:val="26EFED70"/>
    <w:rsid w:val="27A74650"/>
    <w:rsid w:val="284CF8DB"/>
    <w:rsid w:val="29D48D13"/>
    <w:rsid w:val="29DA9949"/>
    <w:rsid w:val="2A657365"/>
    <w:rsid w:val="2A76FE97"/>
    <w:rsid w:val="2A9146A1"/>
    <w:rsid w:val="2B196BFC"/>
    <w:rsid w:val="2B35262A"/>
    <w:rsid w:val="2C6C2557"/>
    <w:rsid w:val="2CDC941C"/>
    <w:rsid w:val="2D024A6E"/>
    <w:rsid w:val="2D0F5ADE"/>
    <w:rsid w:val="2DC8B075"/>
    <w:rsid w:val="2E002CF2"/>
    <w:rsid w:val="2EBC184D"/>
    <w:rsid w:val="2EE87BE5"/>
    <w:rsid w:val="2FB64579"/>
    <w:rsid w:val="301A3093"/>
    <w:rsid w:val="3024A4B6"/>
    <w:rsid w:val="31503BBB"/>
    <w:rsid w:val="325D7B91"/>
    <w:rsid w:val="3296AD02"/>
    <w:rsid w:val="3327B261"/>
    <w:rsid w:val="3473E0DE"/>
    <w:rsid w:val="36893091"/>
    <w:rsid w:val="3703A088"/>
    <w:rsid w:val="38640454"/>
    <w:rsid w:val="388182D3"/>
    <w:rsid w:val="3906BFBA"/>
    <w:rsid w:val="395ADC32"/>
    <w:rsid w:val="3A49D5A1"/>
    <w:rsid w:val="3AB64CBD"/>
    <w:rsid w:val="3AF8D41A"/>
    <w:rsid w:val="3BFCAB14"/>
    <w:rsid w:val="3CA5F837"/>
    <w:rsid w:val="3D96B38D"/>
    <w:rsid w:val="3E128E98"/>
    <w:rsid w:val="3E2B76D2"/>
    <w:rsid w:val="3F1492ED"/>
    <w:rsid w:val="3FB08FE4"/>
    <w:rsid w:val="3FEC37F1"/>
    <w:rsid w:val="4016F56E"/>
    <w:rsid w:val="407FA0AB"/>
    <w:rsid w:val="418E48FF"/>
    <w:rsid w:val="427EE90B"/>
    <w:rsid w:val="42B6A390"/>
    <w:rsid w:val="42BBB7C5"/>
    <w:rsid w:val="42D7E6FA"/>
    <w:rsid w:val="43262994"/>
    <w:rsid w:val="43774888"/>
    <w:rsid w:val="43843725"/>
    <w:rsid w:val="44B6D05E"/>
    <w:rsid w:val="490B2EA5"/>
    <w:rsid w:val="499ABF9A"/>
    <w:rsid w:val="49E3DC4D"/>
    <w:rsid w:val="4A2F6980"/>
    <w:rsid w:val="4B9559ED"/>
    <w:rsid w:val="4C1FC000"/>
    <w:rsid w:val="4C69D47F"/>
    <w:rsid w:val="4D2FBB97"/>
    <w:rsid w:val="4D818411"/>
    <w:rsid w:val="4F2A804D"/>
    <w:rsid w:val="4F5B1FA7"/>
    <w:rsid w:val="4F667646"/>
    <w:rsid w:val="5079C682"/>
    <w:rsid w:val="5266E188"/>
    <w:rsid w:val="52807F3C"/>
    <w:rsid w:val="5859160D"/>
    <w:rsid w:val="586DE84C"/>
    <w:rsid w:val="59110559"/>
    <w:rsid w:val="5974AE3D"/>
    <w:rsid w:val="59E09F50"/>
    <w:rsid w:val="5B5D5105"/>
    <w:rsid w:val="5B86A0AC"/>
    <w:rsid w:val="5BA54586"/>
    <w:rsid w:val="5D514DE6"/>
    <w:rsid w:val="5E54A38F"/>
    <w:rsid w:val="5F1A6CE1"/>
    <w:rsid w:val="5F2ED86D"/>
    <w:rsid w:val="5FEC7C9D"/>
    <w:rsid w:val="62167871"/>
    <w:rsid w:val="62BB908F"/>
    <w:rsid w:val="649C8189"/>
    <w:rsid w:val="656403F4"/>
    <w:rsid w:val="675C6BDB"/>
    <w:rsid w:val="679A9A65"/>
    <w:rsid w:val="6828ACA1"/>
    <w:rsid w:val="69CFB5C8"/>
    <w:rsid w:val="6C0A57E8"/>
    <w:rsid w:val="6C2B271F"/>
    <w:rsid w:val="6D0AE6D8"/>
    <w:rsid w:val="6D35EAA0"/>
    <w:rsid w:val="6D76DA87"/>
    <w:rsid w:val="6D8F3E39"/>
    <w:rsid w:val="6D9A33D6"/>
    <w:rsid w:val="6E5C5584"/>
    <w:rsid w:val="6E8CD914"/>
    <w:rsid w:val="6E950052"/>
    <w:rsid w:val="6F575AB8"/>
    <w:rsid w:val="6FE8AAFB"/>
    <w:rsid w:val="7016C71E"/>
    <w:rsid w:val="70B09E61"/>
    <w:rsid w:val="712EF452"/>
    <w:rsid w:val="7181E020"/>
    <w:rsid w:val="7186F904"/>
    <w:rsid w:val="71A5D845"/>
    <w:rsid w:val="72C673DD"/>
    <w:rsid w:val="72D19648"/>
    <w:rsid w:val="73BB24FE"/>
    <w:rsid w:val="73CF886D"/>
    <w:rsid w:val="74207EB6"/>
    <w:rsid w:val="74B63845"/>
    <w:rsid w:val="761D88AF"/>
    <w:rsid w:val="76774A53"/>
    <w:rsid w:val="76926E4C"/>
    <w:rsid w:val="76BBA9F7"/>
    <w:rsid w:val="77F9E950"/>
    <w:rsid w:val="7B19A9FB"/>
    <w:rsid w:val="7B235376"/>
    <w:rsid w:val="7B78C226"/>
    <w:rsid w:val="7BE9A28E"/>
    <w:rsid w:val="7BF06287"/>
    <w:rsid w:val="7D3488BF"/>
    <w:rsid w:val="7D3B94B2"/>
    <w:rsid w:val="7E3C036A"/>
    <w:rsid w:val="7EA370DD"/>
    <w:rsid w:val="7F026CE8"/>
    <w:rsid w:val="7FB6C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2D20"/>
  <w15:chartTrackingRefBased/>
  <w15:docId w15:val="{8032CCC6-EE17-4F22-9E3D-28FAA018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7E"/>
    <w:pPr>
      <w:spacing w:after="120" w:line="240" w:lineRule="auto"/>
    </w:pPr>
    <w:rPr>
      <w:rFonts w:ascii="Arial" w:hAnsi="Arial"/>
      <w:sz w:val="24"/>
    </w:rPr>
  </w:style>
  <w:style w:type="paragraph" w:styleId="Heading1">
    <w:name w:val="heading 1"/>
    <w:basedOn w:val="Normal"/>
    <w:next w:val="Normal"/>
    <w:link w:val="Heading1Char"/>
    <w:uiPriority w:val="9"/>
    <w:qFormat/>
    <w:rsid w:val="008A0919"/>
    <w:pPr>
      <w:keepNext/>
      <w:keepLines/>
      <w:spacing w:after="360"/>
      <w:outlineLvl w:val="0"/>
    </w:pPr>
    <w:rPr>
      <w:rFonts w:eastAsiaTheme="majorEastAsia" w:cs="Arial"/>
      <w:color w:val="1C6194" w:themeColor="accent6" w:themeShade="BF"/>
      <w:sz w:val="60"/>
      <w:szCs w:val="60"/>
    </w:rPr>
  </w:style>
  <w:style w:type="paragraph" w:styleId="Heading2">
    <w:name w:val="heading 2"/>
    <w:basedOn w:val="Normal"/>
    <w:next w:val="Normal"/>
    <w:link w:val="Heading2Char"/>
    <w:uiPriority w:val="9"/>
    <w:unhideWhenUsed/>
    <w:qFormat/>
    <w:rsid w:val="00DE3A93"/>
    <w:pPr>
      <w:keepNext/>
      <w:keepLines/>
      <w:spacing w:before="400" w:after="160"/>
      <w:outlineLvl w:val="1"/>
    </w:pPr>
    <w:rPr>
      <w:rFonts w:ascii="Arial Rounded MT Bold" w:eastAsiaTheme="majorEastAsia" w:hAnsi="Arial Rounded MT Bold" w:cstheme="majorBidi"/>
      <w:color w:val="1C6194" w:themeColor="accent6" w:themeShade="BF"/>
      <w:sz w:val="40"/>
      <w:szCs w:val="40"/>
    </w:rPr>
  </w:style>
  <w:style w:type="paragraph" w:styleId="Heading3">
    <w:name w:val="heading 3"/>
    <w:basedOn w:val="Normal"/>
    <w:next w:val="Normal"/>
    <w:link w:val="Heading3Char"/>
    <w:uiPriority w:val="9"/>
    <w:unhideWhenUsed/>
    <w:qFormat/>
    <w:rsid w:val="00DE3A93"/>
    <w:pPr>
      <w:keepNext/>
      <w:keepLines/>
      <w:spacing w:before="400" w:after="160"/>
      <w:outlineLvl w:val="2"/>
    </w:pPr>
    <w:rPr>
      <w:rFonts w:ascii="Arial Rounded MT Bold" w:eastAsia="Arial" w:hAnsi="Arial Rounded MT Bold" w:cstheme="majorBidi"/>
      <w:color w:val="000000" w:themeColor="text1"/>
      <w:sz w:val="34"/>
      <w:szCs w:val="34"/>
      <w:lang w:val="en-US"/>
    </w:rPr>
  </w:style>
  <w:style w:type="paragraph" w:styleId="Heading4">
    <w:name w:val="heading 4"/>
    <w:basedOn w:val="Normal"/>
    <w:next w:val="Normal"/>
    <w:link w:val="Heading4Char"/>
    <w:uiPriority w:val="9"/>
    <w:unhideWhenUsed/>
    <w:qFormat/>
    <w:rsid w:val="00D2626A"/>
    <w:pPr>
      <w:keepNext/>
      <w:keepLines/>
      <w:spacing w:before="400" w:after="160"/>
      <w:outlineLvl w:val="3"/>
    </w:pPr>
    <w:rPr>
      <w:rFonts w:eastAsiaTheme="majorEastAsia" w:cs="Arial"/>
      <w:b/>
      <w:bCs/>
      <w:color w:val="000000" w:themeColor="text1"/>
      <w:sz w:val="32"/>
      <w:szCs w:val="32"/>
    </w:rPr>
  </w:style>
  <w:style w:type="paragraph" w:styleId="Heading5">
    <w:name w:val="heading 5"/>
    <w:basedOn w:val="Normal"/>
    <w:next w:val="Normal"/>
    <w:link w:val="Heading5Char"/>
    <w:uiPriority w:val="9"/>
    <w:semiHidden/>
    <w:unhideWhenUsed/>
    <w:qFormat/>
    <w:rsid w:val="00ED4DFC"/>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ED4DFC"/>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ED4DFC"/>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ED4DFC"/>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ED4DFC"/>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D3"/>
    <w:rPr>
      <w:rFonts w:ascii="Segoe UI" w:hAnsi="Segoe UI" w:cs="Segoe UI"/>
      <w:sz w:val="18"/>
      <w:szCs w:val="18"/>
    </w:rPr>
  </w:style>
  <w:style w:type="character" w:styleId="CommentReference">
    <w:name w:val="annotation reference"/>
    <w:basedOn w:val="DefaultParagraphFont"/>
    <w:uiPriority w:val="99"/>
    <w:semiHidden/>
    <w:unhideWhenUsed/>
    <w:rsid w:val="007824DD"/>
    <w:rPr>
      <w:sz w:val="16"/>
      <w:szCs w:val="16"/>
    </w:rPr>
  </w:style>
  <w:style w:type="paragraph" w:styleId="CommentText">
    <w:name w:val="annotation text"/>
    <w:basedOn w:val="Normal"/>
    <w:link w:val="CommentTextChar"/>
    <w:uiPriority w:val="99"/>
    <w:semiHidden/>
    <w:unhideWhenUsed/>
    <w:rsid w:val="007824DD"/>
    <w:rPr>
      <w:sz w:val="20"/>
      <w:szCs w:val="20"/>
    </w:rPr>
  </w:style>
  <w:style w:type="character" w:customStyle="1" w:styleId="CommentTextChar">
    <w:name w:val="Comment Text Char"/>
    <w:basedOn w:val="DefaultParagraphFont"/>
    <w:link w:val="CommentText"/>
    <w:uiPriority w:val="99"/>
    <w:semiHidden/>
    <w:rsid w:val="007824DD"/>
    <w:rPr>
      <w:sz w:val="20"/>
      <w:szCs w:val="20"/>
    </w:rPr>
  </w:style>
  <w:style w:type="paragraph" w:styleId="CommentSubject">
    <w:name w:val="annotation subject"/>
    <w:basedOn w:val="CommentText"/>
    <w:next w:val="CommentText"/>
    <w:link w:val="CommentSubjectChar"/>
    <w:uiPriority w:val="99"/>
    <w:semiHidden/>
    <w:unhideWhenUsed/>
    <w:rsid w:val="007824DD"/>
    <w:rPr>
      <w:b/>
      <w:bCs/>
    </w:rPr>
  </w:style>
  <w:style w:type="character" w:customStyle="1" w:styleId="CommentSubjectChar">
    <w:name w:val="Comment Subject Char"/>
    <w:basedOn w:val="CommentTextChar"/>
    <w:link w:val="CommentSubject"/>
    <w:uiPriority w:val="99"/>
    <w:semiHidden/>
    <w:rsid w:val="007824DD"/>
    <w:rPr>
      <w:b/>
      <w:bCs/>
      <w:sz w:val="20"/>
      <w:szCs w:val="20"/>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sid w:val="003B5C78"/>
    <w:rPr>
      <w:color w:val="134163" w:themeColor="accent6" w:themeShade="80"/>
      <w:u w:val="single"/>
    </w:rPr>
  </w:style>
  <w:style w:type="paragraph" w:styleId="Header">
    <w:name w:val="header"/>
    <w:basedOn w:val="Normal"/>
    <w:link w:val="HeaderChar"/>
    <w:uiPriority w:val="99"/>
    <w:unhideWhenUsed/>
    <w:rsid w:val="0056506A"/>
    <w:pPr>
      <w:tabs>
        <w:tab w:val="center" w:pos="4513"/>
        <w:tab w:val="right" w:pos="9026"/>
      </w:tabs>
      <w:spacing w:after="0"/>
    </w:pPr>
  </w:style>
  <w:style w:type="character" w:customStyle="1" w:styleId="HeaderChar">
    <w:name w:val="Header Char"/>
    <w:basedOn w:val="DefaultParagraphFont"/>
    <w:link w:val="Header"/>
    <w:uiPriority w:val="99"/>
    <w:rsid w:val="0056506A"/>
  </w:style>
  <w:style w:type="paragraph" w:styleId="Footer">
    <w:name w:val="footer"/>
    <w:basedOn w:val="Normal"/>
    <w:link w:val="FooterChar"/>
    <w:unhideWhenUsed/>
    <w:rsid w:val="0056506A"/>
    <w:pPr>
      <w:tabs>
        <w:tab w:val="center" w:pos="4513"/>
        <w:tab w:val="right" w:pos="9026"/>
      </w:tabs>
      <w:spacing w:after="0"/>
    </w:pPr>
  </w:style>
  <w:style w:type="character" w:customStyle="1" w:styleId="FooterChar">
    <w:name w:val="Footer Char"/>
    <w:basedOn w:val="DefaultParagraphFont"/>
    <w:link w:val="Footer"/>
    <w:rsid w:val="0056506A"/>
  </w:style>
  <w:style w:type="character" w:customStyle="1" w:styleId="UnresolvedMention1">
    <w:name w:val="Unresolved Mention1"/>
    <w:basedOn w:val="DefaultParagraphFont"/>
    <w:uiPriority w:val="99"/>
    <w:semiHidden/>
    <w:unhideWhenUsed/>
    <w:rsid w:val="003971B3"/>
    <w:rPr>
      <w:color w:val="605E5C"/>
      <w:shd w:val="clear" w:color="auto" w:fill="E1DFDD"/>
    </w:rPr>
  </w:style>
  <w:style w:type="character" w:customStyle="1" w:styleId="Heading3Char">
    <w:name w:val="Heading 3 Char"/>
    <w:basedOn w:val="DefaultParagraphFont"/>
    <w:link w:val="Heading3"/>
    <w:uiPriority w:val="9"/>
    <w:rsid w:val="00DE3A93"/>
    <w:rPr>
      <w:rFonts w:ascii="Arial Rounded MT Bold" w:eastAsia="Arial" w:hAnsi="Arial Rounded MT Bold" w:cstheme="majorBidi"/>
      <w:color w:val="000000" w:themeColor="text1"/>
      <w:sz w:val="34"/>
      <w:szCs w:val="34"/>
      <w:lang w:val="en-US"/>
    </w:rPr>
  </w:style>
  <w:style w:type="character" w:customStyle="1" w:styleId="ListParagraphChar">
    <w:name w:val="List Paragraph Char"/>
    <w:basedOn w:val="DefaultParagraphFont"/>
    <w:link w:val="ListParagraph"/>
    <w:uiPriority w:val="34"/>
    <w:rsid w:val="00DF7467"/>
  </w:style>
  <w:style w:type="paragraph" w:styleId="Revision">
    <w:name w:val="Revision"/>
    <w:hidden/>
    <w:uiPriority w:val="99"/>
    <w:semiHidden/>
    <w:rsid w:val="005838A9"/>
    <w:pPr>
      <w:spacing w:after="0" w:line="240" w:lineRule="auto"/>
    </w:pPr>
  </w:style>
  <w:style w:type="paragraph" w:customStyle="1" w:styleId="paragraph">
    <w:name w:val="paragraph"/>
    <w:basedOn w:val="Normal"/>
    <w:rsid w:val="008D64F5"/>
    <w:pPr>
      <w:spacing w:before="100" w:beforeAutospacing="1" w:after="100" w:afterAutospacing="1"/>
    </w:pPr>
    <w:rPr>
      <w:rFonts w:ascii="Calibri" w:hAnsi="Calibri" w:cs="Calibri"/>
      <w:lang w:eastAsia="en-AU"/>
    </w:rPr>
  </w:style>
  <w:style w:type="character" w:customStyle="1" w:styleId="normaltextrun">
    <w:name w:val="normaltextrun"/>
    <w:basedOn w:val="DefaultParagraphFont"/>
    <w:rsid w:val="008D64F5"/>
  </w:style>
  <w:style w:type="character" w:customStyle="1" w:styleId="eop">
    <w:name w:val="eop"/>
    <w:basedOn w:val="DefaultParagraphFont"/>
    <w:rsid w:val="008D64F5"/>
  </w:style>
  <w:style w:type="character" w:customStyle="1" w:styleId="findhit">
    <w:name w:val="findhit"/>
    <w:basedOn w:val="DefaultParagraphFont"/>
    <w:rsid w:val="008D64F5"/>
  </w:style>
  <w:style w:type="character" w:customStyle="1" w:styleId="spellingerror">
    <w:name w:val="spellingerror"/>
    <w:basedOn w:val="DefaultParagraphFont"/>
    <w:rsid w:val="008D64F5"/>
  </w:style>
  <w:style w:type="paragraph" w:styleId="TOC1">
    <w:name w:val="toc 1"/>
    <w:basedOn w:val="Normal"/>
    <w:next w:val="Normal"/>
    <w:autoRedefine/>
    <w:uiPriority w:val="39"/>
    <w:unhideWhenUsed/>
    <w:rsid w:val="00BE1E89"/>
    <w:pPr>
      <w:spacing w:after="100"/>
    </w:pPr>
  </w:style>
  <w:style w:type="character" w:customStyle="1" w:styleId="Heading6Char">
    <w:name w:val="Heading 6 Char"/>
    <w:basedOn w:val="DefaultParagraphFont"/>
    <w:link w:val="Heading6"/>
    <w:uiPriority w:val="9"/>
    <w:semiHidden/>
    <w:rsid w:val="00ED4DFC"/>
    <w:rPr>
      <w:rFonts w:asciiTheme="majorHAnsi" w:eastAsiaTheme="majorEastAsia" w:hAnsiTheme="majorHAnsi" w:cstheme="majorBidi"/>
      <w:color w:val="2683C6" w:themeColor="accent6"/>
    </w:rPr>
  </w:style>
  <w:style w:type="character" w:customStyle="1" w:styleId="UnresolvedMention2">
    <w:name w:val="Unresolved Mention2"/>
    <w:basedOn w:val="DefaultParagraphFont"/>
    <w:uiPriority w:val="99"/>
    <w:unhideWhenUsed/>
    <w:rsid w:val="009059EB"/>
    <w:rPr>
      <w:color w:val="605E5C"/>
      <w:shd w:val="clear" w:color="auto" w:fill="E1DFDD"/>
    </w:rPr>
  </w:style>
  <w:style w:type="character" w:customStyle="1" w:styleId="Mention1">
    <w:name w:val="Mention1"/>
    <w:basedOn w:val="DefaultParagraphFont"/>
    <w:uiPriority w:val="99"/>
    <w:unhideWhenUsed/>
    <w:rsid w:val="009059EB"/>
    <w:rPr>
      <w:color w:val="2B579A"/>
      <w:shd w:val="clear" w:color="auto" w:fill="E1DFDD"/>
    </w:rPr>
  </w:style>
  <w:style w:type="character" w:customStyle="1" w:styleId="normaltextrun1">
    <w:name w:val="normaltextrun1"/>
    <w:basedOn w:val="DefaultParagraphFont"/>
    <w:rsid w:val="009644AD"/>
  </w:style>
  <w:style w:type="character" w:customStyle="1" w:styleId="Heading2Char">
    <w:name w:val="Heading 2 Char"/>
    <w:basedOn w:val="DefaultParagraphFont"/>
    <w:link w:val="Heading2"/>
    <w:uiPriority w:val="9"/>
    <w:rsid w:val="00DE3A93"/>
    <w:rPr>
      <w:rFonts w:ascii="Arial Rounded MT Bold" w:eastAsiaTheme="majorEastAsia" w:hAnsi="Arial Rounded MT Bold" w:cstheme="majorBidi"/>
      <w:color w:val="1C6194" w:themeColor="accent6" w:themeShade="BF"/>
      <w:sz w:val="40"/>
      <w:szCs w:val="40"/>
    </w:rPr>
  </w:style>
  <w:style w:type="character" w:customStyle="1" w:styleId="Heading1Char">
    <w:name w:val="Heading 1 Char"/>
    <w:basedOn w:val="DefaultParagraphFont"/>
    <w:link w:val="Heading1"/>
    <w:uiPriority w:val="9"/>
    <w:rsid w:val="008A0919"/>
    <w:rPr>
      <w:rFonts w:ascii="Arial" w:eastAsiaTheme="majorEastAsia" w:hAnsi="Arial" w:cs="Arial"/>
      <w:color w:val="1C6194" w:themeColor="accent6" w:themeShade="BF"/>
      <w:sz w:val="60"/>
      <w:szCs w:val="60"/>
    </w:rPr>
  </w:style>
  <w:style w:type="character" w:customStyle="1" w:styleId="Heading4Char">
    <w:name w:val="Heading 4 Char"/>
    <w:basedOn w:val="DefaultParagraphFont"/>
    <w:link w:val="Heading4"/>
    <w:uiPriority w:val="9"/>
    <w:rsid w:val="00D2626A"/>
    <w:rPr>
      <w:rFonts w:ascii="Arial" w:eastAsiaTheme="majorEastAsia" w:hAnsi="Arial" w:cs="Arial"/>
      <w:b/>
      <w:bCs/>
      <w:color w:val="000000" w:themeColor="text1"/>
      <w:sz w:val="32"/>
      <w:szCs w:val="32"/>
    </w:rPr>
  </w:style>
  <w:style w:type="character" w:customStyle="1" w:styleId="Heading5Char">
    <w:name w:val="Heading 5 Char"/>
    <w:basedOn w:val="DefaultParagraphFont"/>
    <w:link w:val="Heading5"/>
    <w:uiPriority w:val="9"/>
    <w:semiHidden/>
    <w:rsid w:val="00ED4DFC"/>
    <w:rPr>
      <w:rFonts w:asciiTheme="majorHAnsi" w:eastAsiaTheme="majorEastAsia" w:hAnsiTheme="majorHAnsi" w:cstheme="majorBidi"/>
      <w:i/>
      <w:iCs/>
      <w:color w:val="2683C6" w:themeColor="accent6"/>
      <w:sz w:val="22"/>
      <w:szCs w:val="22"/>
    </w:rPr>
  </w:style>
  <w:style w:type="character" w:customStyle="1" w:styleId="Heading7Char">
    <w:name w:val="Heading 7 Char"/>
    <w:basedOn w:val="DefaultParagraphFont"/>
    <w:link w:val="Heading7"/>
    <w:uiPriority w:val="9"/>
    <w:semiHidden/>
    <w:rsid w:val="00ED4DFC"/>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ED4DFC"/>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ED4DFC"/>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ED4DFC"/>
    <w:rPr>
      <w:b/>
      <w:bCs/>
      <w:smallCaps/>
      <w:color w:val="595959" w:themeColor="text1" w:themeTint="A6"/>
    </w:rPr>
  </w:style>
  <w:style w:type="paragraph" w:styleId="Title">
    <w:name w:val="Title"/>
    <w:basedOn w:val="Normal"/>
    <w:next w:val="Normal"/>
    <w:link w:val="TitleChar"/>
    <w:uiPriority w:val="10"/>
    <w:qFormat/>
    <w:rsid w:val="00ED4DFC"/>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4DF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4DFC"/>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4DFC"/>
    <w:rPr>
      <w:rFonts w:asciiTheme="majorHAnsi" w:eastAsiaTheme="majorEastAsia" w:hAnsiTheme="majorHAnsi" w:cstheme="majorBidi"/>
      <w:sz w:val="30"/>
      <w:szCs w:val="30"/>
    </w:rPr>
  </w:style>
  <w:style w:type="character" w:styleId="Strong">
    <w:name w:val="Strong"/>
    <w:basedOn w:val="DefaultParagraphFont"/>
    <w:uiPriority w:val="22"/>
    <w:qFormat/>
    <w:rsid w:val="00ED4DFC"/>
    <w:rPr>
      <w:b/>
      <w:bCs/>
    </w:rPr>
  </w:style>
  <w:style w:type="character" w:styleId="Emphasis">
    <w:name w:val="Emphasis"/>
    <w:basedOn w:val="DefaultParagraphFont"/>
    <w:uiPriority w:val="20"/>
    <w:qFormat/>
    <w:rsid w:val="00ED4DFC"/>
    <w:rPr>
      <w:i/>
      <w:iCs/>
      <w:color w:val="2683C6" w:themeColor="accent6"/>
    </w:rPr>
  </w:style>
  <w:style w:type="paragraph" w:styleId="NoSpacing">
    <w:name w:val="No Spacing"/>
    <w:uiPriority w:val="1"/>
    <w:rsid w:val="00ED4DFC"/>
    <w:pPr>
      <w:spacing w:after="0" w:line="240" w:lineRule="auto"/>
    </w:pPr>
  </w:style>
  <w:style w:type="paragraph" w:styleId="Quote">
    <w:name w:val="Quote"/>
    <w:basedOn w:val="Normal"/>
    <w:next w:val="Normal"/>
    <w:link w:val="QuoteChar"/>
    <w:uiPriority w:val="29"/>
    <w:qFormat/>
    <w:rsid w:val="00ED4DF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4DFC"/>
    <w:rPr>
      <w:i/>
      <w:iCs/>
      <w:color w:val="262626" w:themeColor="text1" w:themeTint="D9"/>
    </w:rPr>
  </w:style>
  <w:style w:type="paragraph" w:styleId="IntenseQuote">
    <w:name w:val="Intense Quote"/>
    <w:basedOn w:val="Normal"/>
    <w:next w:val="Normal"/>
    <w:link w:val="IntenseQuoteChar"/>
    <w:uiPriority w:val="30"/>
    <w:qFormat/>
    <w:rsid w:val="00ED4DFC"/>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ED4DFC"/>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ED4DFC"/>
    <w:rPr>
      <w:i/>
      <w:iCs/>
    </w:rPr>
  </w:style>
  <w:style w:type="character" w:styleId="IntenseEmphasis">
    <w:name w:val="Intense Emphasis"/>
    <w:basedOn w:val="DefaultParagraphFont"/>
    <w:uiPriority w:val="21"/>
    <w:qFormat/>
    <w:rsid w:val="00ED4DFC"/>
    <w:rPr>
      <w:b/>
      <w:bCs/>
      <w:i/>
      <w:iCs/>
    </w:rPr>
  </w:style>
  <w:style w:type="character" w:styleId="SubtleReference">
    <w:name w:val="Subtle Reference"/>
    <w:basedOn w:val="DefaultParagraphFont"/>
    <w:uiPriority w:val="31"/>
    <w:qFormat/>
    <w:rsid w:val="00ED4DFC"/>
    <w:rPr>
      <w:smallCaps/>
      <w:color w:val="595959" w:themeColor="text1" w:themeTint="A6"/>
    </w:rPr>
  </w:style>
  <w:style w:type="character" w:styleId="IntenseReference">
    <w:name w:val="Intense Reference"/>
    <w:basedOn w:val="DefaultParagraphFont"/>
    <w:uiPriority w:val="32"/>
    <w:qFormat/>
    <w:rsid w:val="00ED4DFC"/>
    <w:rPr>
      <w:b/>
      <w:bCs/>
      <w:smallCaps/>
      <w:color w:val="2683C6" w:themeColor="accent6"/>
    </w:rPr>
  </w:style>
  <w:style w:type="character" w:styleId="BookTitle">
    <w:name w:val="Book Title"/>
    <w:basedOn w:val="DefaultParagraphFont"/>
    <w:uiPriority w:val="33"/>
    <w:qFormat/>
    <w:rsid w:val="00ED4DFC"/>
    <w:rPr>
      <w:b/>
      <w:bCs/>
      <w:caps w:val="0"/>
      <w:smallCaps/>
      <w:spacing w:val="7"/>
      <w:sz w:val="21"/>
      <w:szCs w:val="21"/>
    </w:rPr>
  </w:style>
  <w:style w:type="paragraph" w:styleId="TOCHeading">
    <w:name w:val="TOC Heading"/>
    <w:basedOn w:val="Heading1"/>
    <w:next w:val="Normal"/>
    <w:uiPriority w:val="39"/>
    <w:unhideWhenUsed/>
    <w:qFormat/>
    <w:rsid w:val="00ED4DFC"/>
    <w:pPr>
      <w:outlineLvl w:val="9"/>
    </w:pPr>
  </w:style>
  <w:style w:type="paragraph" w:customStyle="1" w:styleId="Table-Header">
    <w:name w:val="Table-Header"/>
    <w:qFormat/>
    <w:rsid w:val="00844B09"/>
    <w:pPr>
      <w:spacing w:before="20" w:after="20" w:line="240" w:lineRule="auto"/>
    </w:pPr>
    <w:rPr>
      <w:b/>
      <w:bCs/>
      <w:sz w:val="24"/>
      <w:szCs w:val="22"/>
    </w:rPr>
  </w:style>
  <w:style w:type="character" w:styleId="UnresolvedMention">
    <w:name w:val="Unresolved Mention"/>
    <w:basedOn w:val="DefaultParagraphFont"/>
    <w:uiPriority w:val="99"/>
    <w:semiHidden/>
    <w:unhideWhenUsed/>
    <w:rsid w:val="00671ABC"/>
    <w:rPr>
      <w:color w:val="605E5C"/>
      <w:shd w:val="clear" w:color="auto" w:fill="E1DFDD"/>
    </w:rPr>
  </w:style>
  <w:style w:type="paragraph" w:customStyle="1" w:styleId="Bullet-Disc">
    <w:name w:val="Bullet-Disc"/>
    <w:basedOn w:val="ListParagraph"/>
    <w:qFormat/>
    <w:rsid w:val="00602381"/>
    <w:pPr>
      <w:numPr>
        <w:numId w:val="29"/>
      </w:numPr>
      <w:tabs>
        <w:tab w:val="left" w:pos="426"/>
      </w:tabs>
      <w:spacing w:before="160" w:after="160"/>
      <w:ind w:left="425" w:hanging="425"/>
      <w:contextualSpacing w:val="0"/>
    </w:pPr>
  </w:style>
  <w:style w:type="paragraph" w:customStyle="1" w:styleId="Bullet-Numbered">
    <w:name w:val="Bullet-Numbered"/>
    <w:basedOn w:val="ListParagraph"/>
    <w:qFormat/>
    <w:rsid w:val="00602381"/>
    <w:pPr>
      <w:numPr>
        <w:numId w:val="28"/>
      </w:numPr>
      <w:tabs>
        <w:tab w:val="left" w:pos="426"/>
      </w:tabs>
      <w:spacing w:before="160" w:after="160"/>
      <w:ind w:left="425" w:hanging="425"/>
      <w:contextualSpacing w:val="0"/>
    </w:pPr>
  </w:style>
  <w:style w:type="paragraph" w:styleId="TOC2">
    <w:name w:val="toc 2"/>
    <w:basedOn w:val="Normal"/>
    <w:next w:val="Normal"/>
    <w:autoRedefine/>
    <w:uiPriority w:val="39"/>
    <w:unhideWhenUsed/>
    <w:rsid w:val="00D8212D"/>
    <w:pPr>
      <w:tabs>
        <w:tab w:val="right" w:pos="8505"/>
      </w:tabs>
      <w:spacing w:after="160"/>
      <w:ind w:left="238"/>
    </w:pPr>
  </w:style>
  <w:style w:type="paragraph" w:styleId="TOC3">
    <w:name w:val="toc 3"/>
    <w:basedOn w:val="Normal"/>
    <w:next w:val="Normal"/>
    <w:autoRedefine/>
    <w:uiPriority w:val="39"/>
    <w:unhideWhenUsed/>
    <w:rsid w:val="008A0919"/>
    <w:pPr>
      <w:tabs>
        <w:tab w:val="right" w:pos="8505"/>
      </w:tabs>
      <w:ind w:left="482"/>
    </w:pPr>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13097">
      <w:bodyDiv w:val="1"/>
      <w:marLeft w:val="0"/>
      <w:marRight w:val="0"/>
      <w:marTop w:val="0"/>
      <w:marBottom w:val="0"/>
      <w:divBdr>
        <w:top w:val="none" w:sz="0" w:space="0" w:color="auto"/>
        <w:left w:val="none" w:sz="0" w:space="0" w:color="auto"/>
        <w:bottom w:val="none" w:sz="0" w:space="0" w:color="auto"/>
        <w:right w:val="none" w:sz="0" w:space="0" w:color="auto"/>
      </w:divBdr>
    </w:div>
    <w:div w:id="260718867">
      <w:bodyDiv w:val="1"/>
      <w:marLeft w:val="0"/>
      <w:marRight w:val="0"/>
      <w:marTop w:val="0"/>
      <w:marBottom w:val="0"/>
      <w:divBdr>
        <w:top w:val="none" w:sz="0" w:space="0" w:color="auto"/>
        <w:left w:val="none" w:sz="0" w:space="0" w:color="auto"/>
        <w:bottom w:val="none" w:sz="0" w:space="0" w:color="auto"/>
        <w:right w:val="none" w:sz="0" w:space="0" w:color="auto"/>
      </w:divBdr>
    </w:div>
    <w:div w:id="769394175">
      <w:bodyDiv w:val="1"/>
      <w:marLeft w:val="0"/>
      <w:marRight w:val="0"/>
      <w:marTop w:val="0"/>
      <w:marBottom w:val="0"/>
      <w:divBdr>
        <w:top w:val="none" w:sz="0" w:space="0" w:color="auto"/>
        <w:left w:val="none" w:sz="0" w:space="0" w:color="auto"/>
        <w:bottom w:val="none" w:sz="0" w:space="0" w:color="auto"/>
        <w:right w:val="none" w:sz="0" w:space="0" w:color="auto"/>
      </w:divBdr>
    </w:div>
    <w:div w:id="908809121">
      <w:bodyDiv w:val="1"/>
      <w:marLeft w:val="0"/>
      <w:marRight w:val="0"/>
      <w:marTop w:val="0"/>
      <w:marBottom w:val="0"/>
      <w:divBdr>
        <w:top w:val="none" w:sz="0" w:space="0" w:color="auto"/>
        <w:left w:val="none" w:sz="0" w:space="0" w:color="auto"/>
        <w:bottom w:val="none" w:sz="0" w:space="0" w:color="auto"/>
        <w:right w:val="none" w:sz="0" w:space="0" w:color="auto"/>
      </w:divBdr>
    </w:div>
    <w:div w:id="956136218">
      <w:bodyDiv w:val="1"/>
      <w:marLeft w:val="0"/>
      <w:marRight w:val="0"/>
      <w:marTop w:val="0"/>
      <w:marBottom w:val="0"/>
      <w:divBdr>
        <w:top w:val="none" w:sz="0" w:space="0" w:color="auto"/>
        <w:left w:val="none" w:sz="0" w:space="0" w:color="auto"/>
        <w:bottom w:val="none" w:sz="0" w:space="0" w:color="auto"/>
        <w:right w:val="none" w:sz="0" w:space="0" w:color="auto"/>
      </w:divBdr>
    </w:div>
    <w:div w:id="1399010846">
      <w:bodyDiv w:val="1"/>
      <w:marLeft w:val="0"/>
      <w:marRight w:val="0"/>
      <w:marTop w:val="0"/>
      <w:marBottom w:val="0"/>
      <w:divBdr>
        <w:top w:val="none" w:sz="0" w:space="0" w:color="auto"/>
        <w:left w:val="none" w:sz="0" w:space="0" w:color="auto"/>
        <w:bottom w:val="none" w:sz="0" w:space="0" w:color="auto"/>
        <w:right w:val="none" w:sz="0" w:space="0" w:color="auto"/>
      </w:divBdr>
    </w:div>
    <w:div w:id="1470785761">
      <w:bodyDiv w:val="1"/>
      <w:marLeft w:val="0"/>
      <w:marRight w:val="0"/>
      <w:marTop w:val="0"/>
      <w:marBottom w:val="0"/>
      <w:divBdr>
        <w:top w:val="none" w:sz="0" w:space="0" w:color="auto"/>
        <w:left w:val="none" w:sz="0" w:space="0" w:color="auto"/>
        <w:bottom w:val="none" w:sz="0" w:space="0" w:color="auto"/>
        <w:right w:val="none" w:sz="0" w:space="0" w:color="auto"/>
      </w:divBdr>
      <w:divsChild>
        <w:div w:id="1016077052">
          <w:marLeft w:val="0"/>
          <w:marRight w:val="0"/>
          <w:marTop w:val="0"/>
          <w:marBottom w:val="0"/>
          <w:divBdr>
            <w:top w:val="none" w:sz="0" w:space="0" w:color="auto"/>
            <w:left w:val="none" w:sz="0" w:space="0" w:color="auto"/>
            <w:bottom w:val="none" w:sz="0" w:space="0" w:color="auto"/>
            <w:right w:val="none" w:sz="0" w:space="0" w:color="auto"/>
          </w:divBdr>
          <w:divsChild>
            <w:div w:id="9724022">
              <w:marLeft w:val="0"/>
              <w:marRight w:val="0"/>
              <w:marTop w:val="0"/>
              <w:marBottom w:val="0"/>
              <w:divBdr>
                <w:top w:val="none" w:sz="0" w:space="0" w:color="auto"/>
                <w:left w:val="none" w:sz="0" w:space="0" w:color="auto"/>
                <w:bottom w:val="none" w:sz="0" w:space="0" w:color="auto"/>
                <w:right w:val="none" w:sz="0" w:space="0" w:color="auto"/>
              </w:divBdr>
              <w:divsChild>
                <w:div w:id="998456748">
                  <w:marLeft w:val="0"/>
                  <w:marRight w:val="0"/>
                  <w:marTop w:val="0"/>
                  <w:marBottom w:val="0"/>
                  <w:divBdr>
                    <w:top w:val="none" w:sz="0" w:space="0" w:color="auto"/>
                    <w:left w:val="none" w:sz="0" w:space="0" w:color="auto"/>
                    <w:bottom w:val="none" w:sz="0" w:space="0" w:color="auto"/>
                    <w:right w:val="none" w:sz="0" w:space="0" w:color="auto"/>
                  </w:divBdr>
                  <w:divsChild>
                    <w:div w:id="380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96687">
      <w:bodyDiv w:val="1"/>
      <w:marLeft w:val="0"/>
      <w:marRight w:val="0"/>
      <w:marTop w:val="0"/>
      <w:marBottom w:val="0"/>
      <w:divBdr>
        <w:top w:val="none" w:sz="0" w:space="0" w:color="auto"/>
        <w:left w:val="none" w:sz="0" w:space="0" w:color="auto"/>
        <w:bottom w:val="none" w:sz="0" w:space="0" w:color="auto"/>
        <w:right w:val="none" w:sz="0" w:space="0" w:color="auto"/>
      </w:divBdr>
    </w:div>
    <w:div w:id="1728188899">
      <w:bodyDiv w:val="1"/>
      <w:marLeft w:val="0"/>
      <w:marRight w:val="0"/>
      <w:marTop w:val="0"/>
      <w:marBottom w:val="0"/>
      <w:divBdr>
        <w:top w:val="none" w:sz="0" w:space="0" w:color="auto"/>
        <w:left w:val="none" w:sz="0" w:space="0" w:color="auto"/>
        <w:bottom w:val="none" w:sz="0" w:space="0" w:color="auto"/>
        <w:right w:val="none" w:sz="0" w:space="0" w:color="auto"/>
      </w:divBdr>
    </w:div>
    <w:div w:id="1771242337">
      <w:bodyDiv w:val="1"/>
      <w:marLeft w:val="0"/>
      <w:marRight w:val="0"/>
      <w:marTop w:val="0"/>
      <w:marBottom w:val="0"/>
      <w:divBdr>
        <w:top w:val="none" w:sz="0" w:space="0" w:color="auto"/>
        <w:left w:val="none" w:sz="0" w:space="0" w:color="auto"/>
        <w:bottom w:val="none" w:sz="0" w:space="0" w:color="auto"/>
        <w:right w:val="none" w:sz="0" w:space="0" w:color="auto"/>
      </w:divBdr>
      <w:divsChild>
        <w:div w:id="1865484691">
          <w:marLeft w:val="0"/>
          <w:marRight w:val="0"/>
          <w:marTop w:val="0"/>
          <w:marBottom w:val="0"/>
          <w:divBdr>
            <w:top w:val="none" w:sz="0" w:space="0" w:color="auto"/>
            <w:left w:val="none" w:sz="0" w:space="0" w:color="auto"/>
            <w:bottom w:val="none" w:sz="0" w:space="0" w:color="auto"/>
            <w:right w:val="none" w:sz="0" w:space="0" w:color="auto"/>
          </w:divBdr>
          <w:divsChild>
            <w:div w:id="231938012">
              <w:marLeft w:val="0"/>
              <w:marRight w:val="0"/>
              <w:marTop w:val="0"/>
              <w:marBottom w:val="0"/>
              <w:divBdr>
                <w:top w:val="none" w:sz="0" w:space="0" w:color="auto"/>
                <w:left w:val="none" w:sz="0" w:space="0" w:color="auto"/>
                <w:bottom w:val="none" w:sz="0" w:space="0" w:color="auto"/>
                <w:right w:val="none" w:sz="0" w:space="0" w:color="auto"/>
              </w:divBdr>
              <w:divsChild>
                <w:div w:id="1588617176">
                  <w:marLeft w:val="0"/>
                  <w:marRight w:val="0"/>
                  <w:marTop w:val="0"/>
                  <w:marBottom w:val="0"/>
                  <w:divBdr>
                    <w:top w:val="none" w:sz="0" w:space="0" w:color="auto"/>
                    <w:left w:val="none" w:sz="0" w:space="0" w:color="auto"/>
                    <w:bottom w:val="none" w:sz="0" w:space="0" w:color="auto"/>
                    <w:right w:val="none" w:sz="0" w:space="0" w:color="auto"/>
                  </w:divBdr>
                  <w:divsChild>
                    <w:div w:id="11968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7292">
      <w:bodyDiv w:val="1"/>
      <w:marLeft w:val="0"/>
      <w:marRight w:val="0"/>
      <w:marTop w:val="0"/>
      <w:marBottom w:val="0"/>
      <w:divBdr>
        <w:top w:val="none" w:sz="0" w:space="0" w:color="auto"/>
        <w:left w:val="none" w:sz="0" w:space="0" w:color="auto"/>
        <w:bottom w:val="none" w:sz="0" w:space="0" w:color="auto"/>
        <w:right w:val="none" w:sz="0" w:space="0" w:color="auto"/>
      </w:divBdr>
    </w:div>
    <w:div w:id="1913849350">
      <w:bodyDiv w:val="1"/>
      <w:marLeft w:val="0"/>
      <w:marRight w:val="0"/>
      <w:marTop w:val="0"/>
      <w:marBottom w:val="0"/>
      <w:divBdr>
        <w:top w:val="none" w:sz="0" w:space="0" w:color="auto"/>
        <w:left w:val="none" w:sz="0" w:space="0" w:color="auto"/>
        <w:bottom w:val="none" w:sz="0" w:space="0" w:color="auto"/>
        <w:right w:val="none" w:sz="0" w:space="0" w:color="auto"/>
      </w:divBdr>
    </w:div>
    <w:div w:id="1958026010">
      <w:bodyDiv w:val="1"/>
      <w:marLeft w:val="0"/>
      <w:marRight w:val="0"/>
      <w:marTop w:val="0"/>
      <w:marBottom w:val="0"/>
      <w:divBdr>
        <w:top w:val="none" w:sz="0" w:space="0" w:color="auto"/>
        <w:left w:val="none" w:sz="0" w:space="0" w:color="auto"/>
        <w:bottom w:val="none" w:sz="0" w:space="0" w:color="auto"/>
        <w:right w:val="none" w:sz="0" w:space="0" w:color="auto"/>
      </w:divBdr>
    </w:div>
    <w:div w:id="2089885889">
      <w:bodyDiv w:val="1"/>
      <w:marLeft w:val="0"/>
      <w:marRight w:val="0"/>
      <w:marTop w:val="0"/>
      <w:marBottom w:val="0"/>
      <w:divBdr>
        <w:top w:val="none" w:sz="0" w:space="0" w:color="auto"/>
        <w:left w:val="none" w:sz="0" w:space="0" w:color="auto"/>
        <w:bottom w:val="none" w:sz="0" w:space="0" w:color="auto"/>
        <w:right w:val="none" w:sz="0" w:space="0" w:color="auto"/>
      </w:divBdr>
    </w:div>
    <w:div w:id="21465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sdisabilityinclusion@s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618841543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2" ma:contentTypeDescription="Create a new document." ma:contentTypeScope="" ma:versionID="5d5e64dd21e9d8e8d12a3784051dc286">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30cdd43082bba059eda7def13b2c62da"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566076-0606-4024-89c6-48ee27e703c5">
      <UserInfo>
        <DisplayName>McGeoch, Helen (DHS)</DisplayName>
        <AccountId>7</AccountId>
        <AccountType/>
      </UserInfo>
      <UserInfo>
        <DisplayName>McCabe, Sharon (DHS)</DisplayName>
        <AccountId>15</AccountId>
        <AccountType/>
      </UserInfo>
      <UserInfo>
        <DisplayName>Tahuri, Emma (DHS)</DisplayName>
        <AccountId>16</AccountId>
        <AccountType/>
      </UserInfo>
      <UserInfo>
        <DisplayName>Willson, Megan (DHS)</DisplayName>
        <AccountId>58</AccountId>
        <AccountType/>
      </UserInfo>
      <UserInfo>
        <DisplayName>Sawyer, Jake (DHS)</DisplayName>
        <AccountId>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492B-19F5-4525-A97F-2C2E5BACA1FD}">
  <ds:schemaRefs>
    <ds:schemaRef ds:uri="http://schemas.microsoft.com/sharepoint/v3/contenttype/forms"/>
  </ds:schemaRefs>
</ds:datastoreItem>
</file>

<file path=customXml/itemProps2.xml><?xml version="1.0" encoding="utf-8"?>
<ds:datastoreItem xmlns:ds="http://schemas.openxmlformats.org/officeDocument/2006/customXml" ds:itemID="{FB11A7CC-CFCB-425D-9DE3-42E5F28E0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EBF3-5AC0-4FAA-AA5B-525D3321F4E8}">
  <ds:schemaRefs>
    <ds:schemaRef ds:uri="http://schemas.microsoft.com/office/2006/metadata/properties"/>
    <ds:schemaRef ds:uri="http://schemas.microsoft.com/office/infopath/2007/PartnerControls"/>
    <ds:schemaRef ds:uri="21566076-0606-4024-89c6-48ee27e703c5"/>
  </ds:schemaRefs>
</ds:datastoreItem>
</file>

<file path=customXml/itemProps4.xml><?xml version="1.0" encoding="utf-8"?>
<ds:datastoreItem xmlns:ds="http://schemas.openxmlformats.org/officeDocument/2006/customXml" ds:itemID="{AB350D7F-CAAB-4D7E-AC2B-3238614C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33</Pages>
  <Words>7683</Words>
  <Characters>43798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51379</CharactersWithSpaces>
  <SharedDoc>false</SharedDoc>
  <HLinks>
    <vt:vector size="24" baseType="variant">
      <vt:variant>
        <vt:i4>7995424</vt:i4>
      </vt:variant>
      <vt:variant>
        <vt:i4>9</vt:i4>
      </vt:variant>
      <vt:variant>
        <vt:i4>0</vt:i4>
      </vt:variant>
      <vt:variant>
        <vt:i4>5</vt:i4>
      </vt:variant>
      <vt:variant>
        <vt:lpwstr>https://parenting.sa.gov.au/pegs/PEG61-Disability-brothers-and-sisters.pdf</vt:lpwstr>
      </vt:variant>
      <vt:variant>
        <vt:lpwstr/>
      </vt:variant>
      <vt:variant>
        <vt:i4>3342432</vt:i4>
      </vt:variant>
      <vt:variant>
        <vt:i4>6</vt:i4>
      </vt:variant>
      <vt:variant>
        <vt:i4>0</vt:i4>
      </vt:variant>
      <vt:variant>
        <vt:i4>5</vt:i4>
      </vt:variant>
      <vt:variant>
        <vt:lpwstr>https://parenting.sa.gov.au/pegs/PEG59-Developmental-delay.pdf</vt:lpwstr>
      </vt:variant>
      <vt:variant>
        <vt:lpwstr/>
      </vt:variant>
      <vt:variant>
        <vt:i4>3670122</vt:i4>
      </vt:variant>
      <vt:variant>
        <vt:i4>3</vt:i4>
      </vt:variant>
      <vt:variant>
        <vt:i4>0</vt:i4>
      </vt:variant>
      <vt:variant>
        <vt:i4>5</vt:i4>
      </vt:variant>
      <vt:variant>
        <vt:lpwstr>https://parenting.sa.gov.au/pegs/peg60.pdf</vt:lpwstr>
      </vt:variant>
      <vt:variant>
        <vt:lpwstr/>
      </vt:variant>
      <vt:variant>
        <vt:i4>7077985</vt:i4>
      </vt:variant>
      <vt:variant>
        <vt:i4>0</vt:i4>
      </vt:variant>
      <vt:variant>
        <vt:i4>0</vt:i4>
      </vt:variant>
      <vt:variant>
        <vt:i4>5</vt:i4>
      </vt:variant>
      <vt:variant>
        <vt:lpwstr>https://parenting.sa.gov.au/easy-guides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Services Disability Access and Inclusion Plan (DAIP) 2020–2024</dc:title>
  <dc:subject/>
  <dc:creator>McGeoch, Helen (DHS);Carolyn.Boyd@sa.gov.au</dc:creator>
  <cp:keywords>DHS Disability Access Inclusion DAIP</cp:keywords>
  <dc:description/>
  <cp:lastModifiedBy>Edwards, Stephanie (DHS)</cp:lastModifiedBy>
  <cp:revision>113</cp:revision>
  <cp:lastPrinted>2020-09-27T23:49:00Z</cp:lastPrinted>
  <dcterms:created xsi:type="dcterms:W3CDTF">2020-09-29T03:42:00Z</dcterms:created>
  <dcterms:modified xsi:type="dcterms:W3CDTF">2020-10-29T23:52:00Z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0x0101007FA749C84F7CD24ABD4EFD71B8F8849D</vt:lpwstr>
  </property>
  <property fmtid="{D5CDD505-2E9C-101B-9397-08002B2CF9AE}" pid="3" name="Order">
    <vt:r8>67500</vt:r8>
  </property>
  <property fmtid="{D5CDD505-2E9C-101B-9397-08002B2CF9AE}" pid="4" name="ComplianceAssetId">
    <vt:lpwstr/>
  </property>
</Properties>
</file>