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50390" w14:textId="10A05216" w:rsidR="002809D4" w:rsidRDefault="4EDA46C9" w:rsidP="00D82F62">
      <w:pPr>
        <w:pStyle w:val="Heading1"/>
      </w:pPr>
      <w:bookmarkStart w:id="0" w:name="_Toc40782120"/>
      <w:r w:rsidRPr="00D82F62">
        <w:t xml:space="preserve">Young People Connected, Communities Protected </w:t>
      </w:r>
      <w:r w:rsidR="00D82F62" w:rsidRPr="00D82F62">
        <w:br/>
      </w:r>
      <w:r w:rsidR="6E1BBF64" w:rsidRPr="00D82F62">
        <w:t>South Australia’s Youth Justice State Plan</w:t>
      </w:r>
      <w:r w:rsidR="00D82F62" w:rsidRPr="00D82F62">
        <w:br/>
      </w:r>
      <w:r w:rsidR="6049477D" w:rsidRPr="00D82F62">
        <w:t>2020</w:t>
      </w:r>
      <w:r w:rsidR="00450604" w:rsidRPr="00D82F62">
        <w:t>–</w:t>
      </w:r>
      <w:r w:rsidR="6049477D" w:rsidRPr="00D82F62">
        <w:t>2023</w:t>
      </w:r>
      <w:bookmarkEnd w:id="0"/>
    </w:p>
    <w:p w14:paraId="2F88EE82" w14:textId="11DD7C5E" w:rsidR="00527FFA" w:rsidRDefault="00527FFA" w:rsidP="00527FFA">
      <w:pPr>
        <w:pStyle w:val="Heading1"/>
        <w:rPr>
          <w:i/>
          <w:iCs/>
        </w:rPr>
      </w:pPr>
      <w:r w:rsidRPr="00527FFA">
        <w:rPr>
          <w:i/>
          <w:iCs/>
        </w:rPr>
        <w:t>Delivery Plan Progress Report</w:t>
      </w:r>
    </w:p>
    <w:p w14:paraId="78F8CDFA" w14:textId="3790279D" w:rsidR="00232743" w:rsidRPr="00232743" w:rsidRDefault="00232743" w:rsidP="00232743">
      <w:pPr>
        <w:pStyle w:val="Heading1"/>
        <w:rPr>
          <w:i/>
          <w:iCs/>
        </w:rPr>
      </w:pPr>
      <w:r w:rsidRPr="00232743">
        <w:rPr>
          <w:i/>
          <w:iCs/>
        </w:rPr>
        <w:t>June 2021</w:t>
      </w:r>
    </w:p>
    <w:p w14:paraId="47BE47E7" w14:textId="51F4B474" w:rsidR="00EF2C38" w:rsidRPr="00F70CD1" w:rsidRDefault="00EF2C38" w:rsidP="00D82F62">
      <w:pPr>
        <w:pStyle w:val="paragraph"/>
        <w:rPr>
          <w:rFonts w:eastAsiaTheme="minorHAnsi"/>
        </w:rPr>
      </w:pPr>
      <w:r w:rsidRPr="00F70CD1">
        <w:rPr>
          <w:rFonts w:eastAsiaTheme="minorHAnsi"/>
        </w:rPr>
        <w:br w:type="page"/>
      </w:r>
    </w:p>
    <w:p w14:paraId="49B4F089" w14:textId="4D3E51C0" w:rsidR="005474F9" w:rsidRPr="00D82F62" w:rsidRDefault="00D00B7E" w:rsidP="00D82F62">
      <w:pPr>
        <w:pStyle w:val="Heading2"/>
      </w:pPr>
      <w:r>
        <w:lastRenderedPageBreak/>
        <w:t>Progress Report Overview</w:t>
      </w:r>
    </w:p>
    <w:p w14:paraId="602EA78D" w14:textId="08ED4667" w:rsidR="00D00B7E" w:rsidRDefault="00D00B7E" w:rsidP="00D00B7E">
      <w:r>
        <w:t>South Australia’s Youth Justice State Plan 2020</w:t>
      </w:r>
      <w:r w:rsidR="00582A04">
        <w:t>–</w:t>
      </w:r>
      <w:r>
        <w:t>2023 was released in June last year, with forty projects identified under six service design themes setting our strategic priorities for 2020</w:t>
      </w:r>
      <w:r w:rsidR="00582A04">
        <w:t>–</w:t>
      </w:r>
      <w:r>
        <w:t>23.</w:t>
      </w:r>
    </w:p>
    <w:p w14:paraId="78DEC2AE" w14:textId="77777777" w:rsidR="00D00B7E" w:rsidRDefault="00D00B7E" w:rsidP="00D00B7E">
      <w:r>
        <w:t>The State Plan was developed following extensive community consultation, including with the cross-agency Connected Youth Journey Lab. It incorporates recommendations from the Training Centre Visitor and the Ombudsman SA.</w:t>
      </w:r>
    </w:p>
    <w:p w14:paraId="14DF9416" w14:textId="77777777" w:rsidR="00D00B7E" w:rsidRDefault="00D00B7E" w:rsidP="00D00B7E">
      <w:r>
        <w:t>The State Plan governance framework includes Ministerial oversight and an Executive Steering Group</w:t>
      </w:r>
    </w:p>
    <w:p w14:paraId="6040C1AB" w14:textId="77777777" w:rsidR="00D00B7E" w:rsidRDefault="00D00B7E" w:rsidP="00D00B7E">
      <w:r>
        <w:t>to support collaborative practice and delivery. Two steering committees have been established to oversee the development and implementation of key deliverables. A further Steering Committee is being established in partnership with Aboriginal communities and organisations.</w:t>
      </w:r>
    </w:p>
    <w:p w14:paraId="3456F2C4" w14:textId="08621D09" w:rsidR="00EF2C38" w:rsidRDefault="00D00B7E" w:rsidP="00D00B7E">
      <w:r>
        <w:t>Significant reforms in Youth Justice Services over</w:t>
      </w:r>
      <w:r>
        <w:t xml:space="preserve"> </w:t>
      </w:r>
      <w:r>
        <w:t xml:space="preserve">the last 12 </w:t>
      </w:r>
      <w:r w:rsidR="00582A04">
        <w:t>to</w:t>
      </w:r>
      <w:r>
        <w:t xml:space="preserve"> 18 months include:</w:t>
      </w:r>
    </w:p>
    <w:p w14:paraId="6A54CAA5" w14:textId="77777777" w:rsidR="00D00B7E" w:rsidRDefault="00D00B7E" w:rsidP="00D00B7E">
      <w:pPr>
        <w:pStyle w:val="Bullet-disc"/>
      </w:pPr>
      <w:r>
        <w:t xml:space="preserve">prohibiting the use of resident worn spit protection (RWSP) </w:t>
      </w:r>
    </w:p>
    <w:p w14:paraId="51EF1194" w14:textId="77777777" w:rsidR="00D00B7E" w:rsidRDefault="00D00B7E" w:rsidP="00D00B7E">
      <w:pPr>
        <w:pStyle w:val="Bullet-disc"/>
      </w:pPr>
      <w:r>
        <w:t>dynamic accommodation model trial at Kurlana Tapa.</w:t>
      </w:r>
    </w:p>
    <w:p w14:paraId="5B823B59" w14:textId="77777777" w:rsidR="00D00B7E" w:rsidRDefault="00D00B7E" w:rsidP="00D00B7E">
      <w:pPr>
        <w:pStyle w:val="Bullet-disc"/>
      </w:pPr>
      <w:r>
        <w:t xml:space="preserve">Community Service Order (CSO) Program procurement and transition </w:t>
      </w:r>
    </w:p>
    <w:p w14:paraId="2E2BA458" w14:textId="77777777" w:rsidR="00D00B7E" w:rsidRDefault="00D00B7E" w:rsidP="00D00B7E">
      <w:pPr>
        <w:pStyle w:val="Bullet-disc"/>
      </w:pPr>
      <w:r>
        <w:t>investment in new technologies (body worn cameras and installation of body scanners at Kurlana Tapa) to increase the safety of staff, children and young people, and visitors, as well as to reduce the need for partially clothed searches</w:t>
      </w:r>
    </w:p>
    <w:p w14:paraId="5B4C83BB" w14:textId="77777777" w:rsidR="00D00B7E" w:rsidRDefault="00D00B7E" w:rsidP="00D00B7E">
      <w:pPr>
        <w:pStyle w:val="Bullet-disc"/>
      </w:pPr>
      <w:r>
        <w:t>opening of the Aboriginal Cultural Trail and Connection Space at Kurlana Tapa</w:t>
      </w:r>
    </w:p>
    <w:p w14:paraId="21668CE1" w14:textId="77777777" w:rsidR="00D00B7E" w:rsidRDefault="00D00B7E" w:rsidP="00D00B7E">
      <w:pPr>
        <w:pStyle w:val="Bullet-disc"/>
      </w:pPr>
      <w:r>
        <w:t>release of the Youth Justice Assessment and Intervention Services Disability Screening Assessment report</w:t>
      </w:r>
    </w:p>
    <w:p w14:paraId="76375573" w14:textId="43D60215" w:rsidR="00D00B7E" w:rsidRDefault="00D00B7E" w:rsidP="00D00B7E">
      <w:pPr>
        <w:pStyle w:val="Bullet-disc"/>
      </w:pPr>
      <w:r>
        <w:t>implementation of the early intervention with young men program initiative for young men and young parenting men who use family violence.</w:t>
      </w:r>
    </w:p>
    <w:p w14:paraId="3B95554F" w14:textId="77777777" w:rsidR="00D00B7E" w:rsidRPr="00D00B7E" w:rsidRDefault="00D00B7E" w:rsidP="00D00B7E">
      <w:r w:rsidRPr="00D00B7E">
        <w:t>A number of independent reviews have been commissioned at the Kurlana Tapa Youth Justice Centre to identify areas for improvement.</w:t>
      </w:r>
    </w:p>
    <w:p w14:paraId="6AF68F10" w14:textId="77777777" w:rsidR="00D00B7E" w:rsidRPr="00D00B7E" w:rsidRDefault="00D00B7E" w:rsidP="00D00B7E">
      <w:r w:rsidRPr="00D00B7E">
        <w:t xml:space="preserve">Other projects underway include the consolidation of services at the Goldsborough Road campus, Enhanced Support Team pilot, and development of a sensory modulation framework. </w:t>
      </w:r>
    </w:p>
    <w:p w14:paraId="0FDB5113" w14:textId="77777777" w:rsidR="00D00B7E" w:rsidRPr="00D00B7E" w:rsidRDefault="00D00B7E" w:rsidP="00D00B7E">
      <w:r w:rsidRPr="00D00B7E">
        <w:lastRenderedPageBreak/>
        <w:t xml:space="preserve">Work has also commenced on a Practice Framework alongside the development of the Aboriginal Cultural Framework, encompassing an end-to-end case management model, assessment, intervention and transition. This aims to ensure consistent approaches and strong links to community that are strong enough to last beyond their time in the justice system. </w:t>
      </w:r>
    </w:p>
    <w:p w14:paraId="6BC20DE8" w14:textId="77777777" w:rsidR="00D00B7E" w:rsidRPr="00D00B7E" w:rsidRDefault="00D00B7E" w:rsidP="00D00B7E">
      <w:r w:rsidRPr="00D00B7E">
        <w:t>In February, DHS finalised organisational structural changes to align our structure and resources to our priorities and outcomes. Youth Justice Services is now part of the Community and Family Services Division of DHS, led by Ann-Marie Hayes. This gives Youth Justice Services stronger connections with other services, which will lead to better collaboration, more effective service delivery and better outcomes for the people we work with, particularly our focus on reducing the number of Aboriginal children and young people in youth detention, in line with Closing the Gap priority reform areas and targets.</w:t>
      </w:r>
    </w:p>
    <w:p w14:paraId="041AA94A" w14:textId="0E9C6C7A" w:rsidR="00D00B7E" w:rsidRPr="00D00B7E" w:rsidRDefault="00D00B7E" w:rsidP="00D00B7E">
      <w:r w:rsidRPr="00D00B7E">
        <w:t>Progress on State Plan deliverables is detailed below. Some projects have been delayed, in part due to project resource impacts arising from COVID. Where new timelines are required, this is shown in the last column. Some of the actions are happening within the Practice Framework and Consolidation program of work. Where this occurs, information is included in the status report.</w:t>
      </w:r>
    </w:p>
    <w:p w14:paraId="545D9B42" w14:textId="77777777" w:rsidR="00D00B7E" w:rsidRPr="00230146" w:rsidRDefault="00D00B7E" w:rsidP="00D00B7E"/>
    <w:p w14:paraId="74D401FB" w14:textId="5AA2FC13" w:rsidR="008E4F51" w:rsidRPr="00232743" w:rsidRDefault="008E4F51" w:rsidP="00D82F62">
      <w:pPr>
        <w:rPr>
          <w:rStyle w:val="normaltextrun"/>
        </w:rPr>
        <w:sectPr w:rsidR="008E4F51" w:rsidRPr="00232743" w:rsidSect="00B5728A">
          <w:footerReference w:type="default" r:id="rId11"/>
          <w:pgSz w:w="16838" w:h="11906" w:orient="landscape"/>
          <w:pgMar w:top="1021" w:right="851" w:bottom="1021" w:left="851" w:header="709" w:footer="198" w:gutter="0"/>
          <w:cols w:space="708"/>
          <w:titlePg/>
          <w:docGrid w:linePitch="360"/>
        </w:sectPr>
      </w:pPr>
    </w:p>
    <w:p w14:paraId="4AA60EF0" w14:textId="5F539ABB" w:rsidR="0030137E" w:rsidRPr="00D82F62" w:rsidRDefault="0030137E" w:rsidP="0030137E">
      <w:pPr>
        <w:pStyle w:val="Heading2"/>
      </w:pPr>
      <w:r>
        <w:lastRenderedPageBreak/>
        <w:t>Progress Report</w:t>
      </w:r>
      <w:r>
        <w:t xml:space="preserve"> June 2021</w:t>
      </w:r>
    </w:p>
    <w:p w14:paraId="75EE3557" w14:textId="033341C7" w:rsidR="00635705" w:rsidRPr="008928F2" w:rsidRDefault="00635705" w:rsidP="00B5728A">
      <w:pPr>
        <w:pStyle w:val="Heading3"/>
      </w:pPr>
      <w:r w:rsidRPr="008928F2">
        <w:t>Young people’s wellbeing – Young people’s safety and wellbeing is at the heart of our services.</w:t>
      </w:r>
    </w:p>
    <w:tbl>
      <w:tblPr>
        <w:tblW w:w="4950" w:type="pct"/>
        <w:tblLayout w:type="fixed"/>
        <w:tblLook w:val="04A0" w:firstRow="1" w:lastRow="0" w:firstColumn="1" w:lastColumn="0" w:noHBand="0" w:noVBand="1"/>
      </w:tblPr>
      <w:tblGrid>
        <w:gridCol w:w="984"/>
        <w:gridCol w:w="5764"/>
        <w:gridCol w:w="4954"/>
        <w:gridCol w:w="1549"/>
        <w:gridCol w:w="1734"/>
      </w:tblGrid>
      <w:tr w:rsidR="00890707" w:rsidRPr="008928F2" w14:paraId="18DBD5B3" w14:textId="1BF2374E" w:rsidTr="00B5728A">
        <w:trPr>
          <w:tblHeader/>
        </w:trPr>
        <w:tc>
          <w:tcPr>
            <w:tcW w:w="901" w:type="dxa"/>
            <w:shd w:val="clear" w:color="auto" w:fill="F2F2F2" w:themeFill="background1" w:themeFillShade="F2"/>
          </w:tcPr>
          <w:p w14:paraId="29A61899" w14:textId="3B25D142" w:rsidR="00890707" w:rsidRPr="008928F2" w:rsidRDefault="00890707" w:rsidP="008928F2">
            <w:pPr>
              <w:pStyle w:val="Table-Header"/>
            </w:pPr>
            <w:r w:rsidRPr="008928F2">
              <w:t>#</w:t>
            </w:r>
          </w:p>
        </w:tc>
        <w:tc>
          <w:tcPr>
            <w:tcW w:w="5278" w:type="dxa"/>
            <w:shd w:val="clear" w:color="auto" w:fill="F2F2F2" w:themeFill="background1" w:themeFillShade="F2"/>
          </w:tcPr>
          <w:p w14:paraId="000061D6" w14:textId="7F13966B" w:rsidR="00890707" w:rsidRPr="008928F2" w:rsidRDefault="00890707" w:rsidP="008928F2">
            <w:pPr>
              <w:pStyle w:val="Table-Header"/>
            </w:pPr>
            <w:r w:rsidRPr="008928F2">
              <w:t xml:space="preserve">Project </w:t>
            </w:r>
          </w:p>
        </w:tc>
        <w:tc>
          <w:tcPr>
            <w:tcW w:w="4536" w:type="dxa"/>
            <w:shd w:val="clear" w:color="auto" w:fill="F2F2F2" w:themeFill="background1" w:themeFillShade="F2"/>
          </w:tcPr>
          <w:p w14:paraId="4F2D4CFE" w14:textId="59E320C3" w:rsidR="00890707" w:rsidRPr="008928F2" w:rsidRDefault="00890707" w:rsidP="008928F2">
            <w:pPr>
              <w:pStyle w:val="Table-Header"/>
            </w:pPr>
            <w:r>
              <w:t>Status</w:t>
            </w:r>
          </w:p>
        </w:tc>
        <w:tc>
          <w:tcPr>
            <w:tcW w:w="1418" w:type="dxa"/>
            <w:shd w:val="clear" w:color="auto" w:fill="F2F2F2" w:themeFill="background1" w:themeFillShade="F2"/>
          </w:tcPr>
          <w:p w14:paraId="2835A00C" w14:textId="6D375E94" w:rsidR="00890707" w:rsidRPr="008928F2" w:rsidRDefault="00890707" w:rsidP="008928F2">
            <w:pPr>
              <w:pStyle w:val="Table-Header"/>
            </w:pPr>
            <w:r w:rsidRPr="008928F2">
              <w:t>Lead</w:t>
            </w:r>
          </w:p>
        </w:tc>
        <w:tc>
          <w:tcPr>
            <w:tcW w:w="1588" w:type="dxa"/>
            <w:shd w:val="clear" w:color="auto" w:fill="F2F2F2" w:themeFill="background1" w:themeFillShade="F2"/>
          </w:tcPr>
          <w:p w14:paraId="1250B27D" w14:textId="7127729E" w:rsidR="00890707" w:rsidRPr="008928F2" w:rsidRDefault="00890707" w:rsidP="008928F2">
            <w:pPr>
              <w:pStyle w:val="Table-Header"/>
            </w:pPr>
            <w:r w:rsidRPr="008928F2">
              <w:t xml:space="preserve">Timeframe </w:t>
            </w:r>
          </w:p>
        </w:tc>
      </w:tr>
      <w:tr w:rsidR="00890707" w:rsidRPr="008928F2" w14:paraId="6D4DD60C" w14:textId="6340BB3D" w:rsidTr="00B5728A">
        <w:tc>
          <w:tcPr>
            <w:tcW w:w="901" w:type="dxa"/>
            <w:tcBorders>
              <w:bottom w:val="single" w:sz="4" w:space="0" w:color="auto"/>
            </w:tcBorders>
            <w:shd w:val="clear" w:color="auto" w:fill="auto"/>
          </w:tcPr>
          <w:p w14:paraId="71254DE3" w14:textId="3F66345C" w:rsidR="00890707" w:rsidRPr="008928F2" w:rsidRDefault="00890707" w:rsidP="008928F2">
            <w:pPr>
              <w:pStyle w:val="Table-Text"/>
            </w:pPr>
            <w:r w:rsidRPr="008928F2">
              <w:t>1.1</w:t>
            </w:r>
          </w:p>
        </w:tc>
        <w:tc>
          <w:tcPr>
            <w:tcW w:w="5278" w:type="dxa"/>
            <w:tcBorders>
              <w:bottom w:val="single" w:sz="4" w:space="0" w:color="auto"/>
            </w:tcBorders>
          </w:tcPr>
          <w:p w14:paraId="1E7B79F4" w14:textId="7626C697" w:rsidR="00890707" w:rsidRPr="008928F2" w:rsidRDefault="00A24F9E" w:rsidP="00A24F9E">
            <w:pPr>
              <w:pStyle w:val="Table-Text"/>
            </w:pPr>
            <w:r w:rsidRPr="00A24F9E">
              <w:t>Continue delivering on actions in line with recommendations from the Ombudsman SA and Training Centre Visitor recommendations.</w:t>
            </w:r>
          </w:p>
        </w:tc>
        <w:tc>
          <w:tcPr>
            <w:tcW w:w="4536" w:type="dxa"/>
            <w:tcBorders>
              <w:bottom w:val="single" w:sz="4" w:space="0" w:color="auto"/>
            </w:tcBorders>
          </w:tcPr>
          <w:p w14:paraId="3BC79CA2" w14:textId="77777777" w:rsidR="00A24F9E" w:rsidRPr="00A24F9E" w:rsidRDefault="00A24F9E" w:rsidP="00A24F9E">
            <w:pPr>
              <w:pStyle w:val="Table-Text"/>
              <w:rPr>
                <w:lang w:eastAsia="en-AU"/>
              </w:rPr>
            </w:pPr>
            <w:r w:rsidRPr="00A24F9E">
              <w:rPr>
                <w:lang w:eastAsia="en-AU"/>
              </w:rPr>
              <w:t>In progress. Improvements made to increase the safety of staff</w:t>
            </w:r>
            <w:r w:rsidRPr="00A24F9E">
              <w:rPr>
                <w:lang w:eastAsia="en-AU"/>
              </w:rPr>
              <w:br/>
              <w:t>and young people at Kurlana Tapa include:</w:t>
            </w:r>
          </w:p>
          <w:p w14:paraId="73D0C199" w14:textId="452A4025" w:rsidR="00A24F9E" w:rsidRPr="00A24F9E" w:rsidRDefault="00A24F9E" w:rsidP="00A24F9E">
            <w:pPr>
              <w:pStyle w:val="Bullet-Table"/>
            </w:pPr>
            <w:r w:rsidRPr="00A24F9E">
              <w:t>Use of resident</w:t>
            </w:r>
            <w:r>
              <w:t>-</w:t>
            </w:r>
            <w:r w:rsidRPr="00A24F9E">
              <w:t>worn spit protection was prohibited by the Department of Human Services (DHS) from 1 July 2020. Staff-worn protective equipment is available, and staff have been trained in techniques to</w:t>
            </w:r>
            <w:r w:rsidRPr="00A24F9E">
              <w:br/>
              <w:t>de-escalate challenging behaviours and reduce incidents.</w:t>
            </w:r>
          </w:p>
          <w:p w14:paraId="2AA0071D" w14:textId="77777777" w:rsidR="00A24F9E" w:rsidRPr="00A24F9E" w:rsidRDefault="00A24F9E" w:rsidP="00A24F9E">
            <w:pPr>
              <w:pStyle w:val="Bullet-Table"/>
            </w:pPr>
            <w:r w:rsidRPr="00A24F9E">
              <w:t>Minimum periods for recreational and exercise time for residents out of their bedroom have been set, with increased frequency of reviews for those on a Restricted Routine (at least every three hours). Professional and domestic visits and phone calls are not considered part of minimum scheduled exercise or recreation periods.</w:t>
            </w:r>
          </w:p>
          <w:p w14:paraId="583DB92D" w14:textId="77777777" w:rsidR="00A24F9E" w:rsidRPr="00A24F9E" w:rsidRDefault="00A24F9E" w:rsidP="00A24F9E">
            <w:pPr>
              <w:pStyle w:val="Bullet-Table"/>
            </w:pPr>
            <w:r w:rsidRPr="00A24F9E">
              <w:t xml:space="preserve">A trial of body-worn cameras commenced on 6 April 2020. Body-worn cameras are </w:t>
            </w:r>
            <w:r w:rsidRPr="00A24F9E">
              <w:lastRenderedPageBreak/>
              <w:t>activated during, or in anticipation of, an incident to capture video and audio. Initial benefits were observed during the trial, and a full analysis of the trial is in progress.</w:t>
            </w:r>
          </w:p>
          <w:p w14:paraId="52F5E4CA" w14:textId="77777777" w:rsidR="00A24F9E" w:rsidRPr="00A24F9E" w:rsidRDefault="00A24F9E" w:rsidP="00A24F9E">
            <w:pPr>
              <w:pStyle w:val="Bullet-Table"/>
            </w:pPr>
            <w:r w:rsidRPr="00A24F9E">
              <w:t>An Enhanced Support Team at Kurlana Tapa is being created to pilot a model of therapeutic care to strengthen supports for children and young people with complex needs.</w:t>
            </w:r>
          </w:p>
          <w:p w14:paraId="3E56F35F" w14:textId="77777777" w:rsidR="00A24F9E" w:rsidRPr="00A24F9E" w:rsidRDefault="00A24F9E" w:rsidP="00A24F9E">
            <w:pPr>
              <w:pStyle w:val="Bullet-Table"/>
            </w:pPr>
            <w:r w:rsidRPr="00A24F9E">
              <w:t>Independent review of the use of isolation, segregation and use of force was conducted between February and May 2020. Advice from the report is being used to improve practices.</w:t>
            </w:r>
          </w:p>
          <w:p w14:paraId="28C3631F" w14:textId="77777777" w:rsidR="00A24F9E" w:rsidRPr="00A24F9E" w:rsidRDefault="00A24F9E" w:rsidP="00A24F9E">
            <w:pPr>
              <w:pStyle w:val="Bullet-Table"/>
            </w:pPr>
            <w:r w:rsidRPr="00A24F9E">
              <w:t>Full-size body scanning technology at Kurlana Tapa to reduce the need for partially clothed searches.</w:t>
            </w:r>
          </w:p>
          <w:p w14:paraId="6ABE6D68" w14:textId="77777777" w:rsidR="00A24F9E" w:rsidRPr="00A24F9E" w:rsidRDefault="00A24F9E" w:rsidP="00A24F9E">
            <w:pPr>
              <w:pStyle w:val="Bullet-Table"/>
            </w:pPr>
            <w:r w:rsidRPr="00A24F9E">
              <w:t>An electronic logging system has been implemented to improve operational monitoring and record-keeping.</w:t>
            </w:r>
          </w:p>
          <w:p w14:paraId="2EB47172" w14:textId="70991500" w:rsidR="00890707" w:rsidRPr="00A24F9E" w:rsidRDefault="00890707" w:rsidP="00A24F9E">
            <w:pPr>
              <w:pStyle w:val="Table-Text"/>
            </w:pPr>
          </w:p>
        </w:tc>
        <w:tc>
          <w:tcPr>
            <w:tcW w:w="1418" w:type="dxa"/>
            <w:tcBorders>
              <w:bottom w:val="single" w:sz="4" w:space="0" w:color="auto"/>
            </w:tcBorders>
          </w:tcPr>
          <w:p w14:paraId="3E026DD9" w14:textId="28CE72F4" w:rsidR="00890707" w:rsidRPr="008928F2" w:rsidRDefault="00890707" w:rsidP="008928F2">
            <w:pPr>
              <w:pStyle w:val="Table-Text"/>
            </w:pPr>
            <w:r w:rsidRPr="008928F2">
              <w:lastRenderedPageBreak/>
              <w:t>DHS</w:t>
            </w:r>
          </w:p>
        </w:tc>
        <w:tc>
          <w:tcPr>
            <w:tcW w:w="1588" w:type="dxa"/>
            <w:tcBorders>
              <w:bottom w:val="single" w:sz="4" w:space="0" w:color="auto"/>
            </w:tcBorders>
          </w:tcPr>
          <w:p w14:paraId="6B2B0680" w14:textId="016E834F" w:rsidR="00890707" w:rsidRPr="008928F2" w:rsidRDefault="00470461" w:rsidP="008928F2">
            <w:pPr>
              <w:pStyle w:val="Table-Text"/>
            </w:pPr>
            <w:r>
              <w:t>Ongoing</w:t>
            </w:r>
          </w:p>
        </w:tc>
      </w:tr>
      <w:tr w:rsidR="00860C58" w:rsidRPr="008928F2" w14:paraId="6DC681D5" w14:textId="699E6DC3" w:rsidTr="00B5728A">
        <w:tc>
          <w:tcPr>
            <w:tcW w:w="901" w:type="dxa"/>
            <w:tcBorders>
              <w:top w:val="single" w:sz="4" w:space="0" w:color="auto"/>
              <w:bottom w:val="single" w:sz="4" w:space="0" w:color="auto"/>
            </w:tcBorders>
            <w:shd w:val="clear" w:color="auto" w:fill="auto"/>
          </w:tcPr>
          <w:p w14:paraId="14288A17" w14:textId="45AB88F1" w:rsidR="00860C58" w:rsidRPr="008928F2" w:rsidRDefault="00860C58" w:rsidP="00860C58">
            <w:pPr>
              <w:pStyle w:val="Table-Text"/>
            </w:pPr>
            <w:r w:rsidRPr="008928F2">
              <w:t>1.2</w:t>
            </w:r>
          </w:p>
        </w:tc>
        <w:tc>
          <w:tcPr>
            <w:tcW w:w="5278" w:type="dxa"/>
            <w:tcBorders>
              <w:top w:val="single" w:sz="4" w:space="0" w:color="auto"/>
              <w:bottom w:val="single" w:sz="4" w:space="0" w:color="auto"/>
            </w:tcBorders>
          </w:tcPr>
          <w:p w14:paraId="19D5706D" w14:textId="2BE02A2A" w:rsidR="00860C58" w:rsidRPr="00860C58" w:rsidRDefault="00860C58" w:rsidP="00860C58">
            <w:pPr>
              <w:pStyle w:val="Table-Text"/>
            </w:pPr>
            <w:r w:rsidRPr="00860C58">
              <w:t xml:space="preserve">Develop and deliver a consolidated Programs Framework and Delivery Plan in partnership with the </w:t>
            </w:r>
            <w:r w:rsidRPr="00860C58">
              <w:lastRenderedPageBreak/>
              <w:t>sector that addresses areas of priority needs and support.</w:t>
            </w:r>
          </w:p>
        </w:tc>
        <w:tc>
          <w:tcPr>
            <w:tcW w:w="4536" w:type="dxa"/>
            <w:tcBorders>
              <w:top w:val="single" w:sz="4" w:space="0" w:color="auto"/>
              <w:bottom w:val="single" w:sz="4" w:space="0" w:color="auto"/>
            </w:tcBorders>
          </w:tcPr>
          <w:p w14:paraId="35614F3E" w14:textId="0C390D4A" w:rsidR="00860C58" w:rsidRPr="00860C58" w:rsidRDefault="00860C58" w:rsidP="00860C58">
            <w:pPr>
              <w:pStyle w:val="Table-Text"/>
            </w:pPr>
            <w:r w:rsidRPr="00860C58">
              <w:lastRenderedPageBreak/>
              <w:t xml:space="preserve">In progress. The Programs Framework will form part of the Youth Justice Services Practice Framework, encompassing cultural practice, an end-to-end case management </w:t>
            </w:r>
            <w:r w:rsidRPr="00860C58">
              <w:lastRenderedPageBreak/>
              <w:t>model, assessment, intervention and transition. It aims to support consistent approaches and strong links to community throughout and beyond their time in youth justice.</w:t>
            </w:r>
          </w:p>
        </w:tc>
        <w:tc>
          <w:tcPr>
            <w:tcW w:w="1418" w:type="dxa"/>
            <w:tcBorders>
              <w:top w:val="single" w:sz="4" w:space="0" w:color="auto"/>
              <w:bottom w:val="single" w:sz="4" w:space="0" w:color="auto"/>
            </w:tcBorders>
          </w:tcPr>
          <w:p w14:paraId="6162D2E0" w14:textId="65DFC96D" w:rsidR="00860C58" w:rsidRPr="00860C58" w:rsidRDefault="00860C58" w:rsidP="00860C58">
            <w:pPr>
              <w:pStyle w:val="Table-Text"/>
            </w:pPr>
            <w:r w:rsidRPr="00860C58">
              <w:lastRenderedPageBreak/>
              <w:t>DHS</w:t>
            </w:r>
          </w:p>
        </w:tc>
        <w:tc>
          <w:tcPr>
            <w:tcW w:w="1588" w:type="dxa"/>
            <w:tcBorders>
              <w:top w:val="single" w:sz="4" w:space="0" w:color="auto"/>
              <w:bottom w:val="single" w:sz="4" w:space="0" w:color="auto"/>
            </w:tcBorders>
          </w:tcPr>
          <w:p w14:paraId="351A8BF7" w14:textId="7957A9FB" w:rsidR="00860C58" w:rsidRPr="00860C58" w:rsidRDefault="00860C58" w:rsidP="00860C58">
            <w:pPr>
              <w:pStyle w:val="Table-Text"/>
            </w:pPr>
            <w:r w:rsidRPr="00860C58">
              <w:t>31 December 2022</w:t>
            </w:r>
          </w:p>
        </w:tc>
      </w:tr>
      <w:tr w:rsidR="001876A1" w:rsidRPr="008928F2" w14:paraId="17A8444B" w14:textId="6D308DB4" w:rsidTr="00B5728A">
        <w:tc>
          <w:tcPr>
            <w:tcW w:w="901" w:type="dxa"/>
            <w:tcBorders>
              <w:top w:val="single" w:sz="4" w:space="0" w:color="auto"/>
            </w:tcBorders>
          </w:tcPr>
          <w:p w14:paraId="06838DF2" w14:textId="5794141C" w:rsidR="001876A1" w:rsidRPr="008928F2" w:rsidRDefault="001876A1" w:rsidP="001876A1">
            <w:pPr>
              <w:pStyle w:val="Table-Text"/>
            </w:pPr>
            <w:r w:rsidRPr="008928F2">
              <w:t>1.3</w:t>
            </w:r>
          </w:p>
        </w:tc>
        <w:tc>
          <w:tcPr>
            <w:tcW w:w="5278" w:type="dxa"/>
            <w:tcBorders>
              <w:top w:val="single" w:sz="4" w:space="0" w:color="auto"/>
            </w:tcBorders>
          </w:tcPr>
          <w:p w14:paraId="11553B68" w14:textId="24118CD6" w:rsidR="001876A1" w:rsidRPr="001876A1" w:rsidRDefault="001876A1" w:rsidP="001876A1">
            <w:pPr>
              <w:pStyle w:val="Table-Text"/>
            </w:pPr>
            <w:r w:rsidRPr="001876A1">
              <w:t>Implement improvements identified in the Youth Justice Assessment and Intervention Services Disability Screening project, to ensure assessment and intervention needs are met in a timely manner.</w:t>
            </w:r>
          </w:p>
        </w:tc>
        <w:tc>
          <w:tcPr>
            <w:tcW w:w="4536" w:type="dxa"/>
            <w:tcBorders>
              <w:top w:val="single" w:sz="4" w:space="0" w:color="auto"/>
            </w:tcBorders>
          </w:tcPr>
          <w:p w14:paraId="5B0FC3A0" w14:textId="77777777" w:rsidR="001876A1" w:rsidRPr="001876A1" w:rsidRDefault="001876A1" w:rsidP="001876A1">
            <w:pPr>
              <w:pStyle w:val="Table-Text"/>
            </w:pPr>
            <w:r w:rsidRPr="001876A1">
              <w:t>In progress. A disability screening tool / process is currently being considered as part of the assessment project (1.4).</w:t>
            </w:r>
          </w:p>
          <w:p w14:paraId="06D0B2D6" w14:textId="77777777" w:rsidR="001876A1" w:rsidRPr="001876A1" w:rsidRDefault="001876A1" w:rsidP="001876A1">
            <w:pPr>
              <w:pStyle w:val="Table-Text"/>
            </w:pPr>
            <w:r w:rsidRPr="001876A1">
              <w:t>A Sensory Modulation Framework is being developed to provide children and young people with the knowledge and resources to help them understand their own sensory processing needs and to develop self-regulation skills. The Framework will include a set of practical recommendations on how to modify environments to respond to the varied sensory processing needs of children and young people</w:t>
            </w:r>
            <w:r w:rsidRPr="001876A1">
              <w:br/>
              <w:t>in custody.</w:t>
            </w:r>
          </w:p>
          <w:p w14:paraId="0F6969D4" w14:textId="77777777" w:rsidR="001876A1" w:rsidRPr="001876A1" w:rsidRDefault="001876A1" w:rsidP="001876A1">
            <w:pPr>
              <w:pStyle w:val="Table-Text"/>
            </w:pPr>
            <w:r w:rsidRPr="001876A1">
              <w:t>Work has also commenced on the following initiatives:</w:t>
            </w:r>
          </w:p>
          <w:p w14:paraId="5A0D9253" w14:textId="77777777" w:rsidR="001876A1" w:rsidRPr="001876A1" w:rsidRDefault="001876A1" w:rsidP="001876A1">
            <w:pPr>
              <w:pStyle w:val="Bullet-Table"/>
            </w:pPr>
            <w:r w:rsidRPr="001876A1">
              <w:t>Improving Communication Access project.</w:t>
            </w:r>
          </w:p>
          <w:p w14:paraId="22A51272" w14:textId="55B36FB7" w:rsidR="001876A1" w:rsidRPr="001876A1" w:rsidRDefault="001876A1" w:rsidP="001876A1">
            <w:pPr>
              <w:pStyle w:val="Bullet-Table"/>
            </w:pPr>
            <w:r w:rsidRPr="001876A1">
              <w:t>Review of disability informed policy and practice.</w:t>
            </w:r>
          </w:p>
        </w:tc>
        <w:tc>
          <w:tcPr>
            <w:tcW w:w="1418" w:type="dxa"/>
            <w:tcBorders>
              <w:top w:val="single" w:sz="4" w:space="0" w:color="auto"/>
            </w:tcBorders>
          </w:tcPr>
          <w:p w14:paraId="47D35E77" w14:textId="06EB10DA" w:rsidR="001876A1" w:rsidRPr="001876A1" w:rsidRDefault="001876A1" w:rsidP="001876A1">
            <w:pPr>
              <w:pStyle w:val="Table-Text"/>
            </w:pPr>
            <w:r w:rsidRPr="001876A1">
              <w:t>DHS</w:t>
            </w:r>
          </w:p>
        </w:tc>
        <w:tc>
          <w:tcPr>
            <w:tcW w:w="1588" w:type="dxa"/>
            <w:tcBorders>
              <w:top w:val="single" w:sz="4" w:space="0" w:color="auto"/>
            </w:tcBorders>
          </w:tcPr>
          <w:p w14:paraId="21BF969E" w14:textId="21BE5998" w:rsidR="001876A1" w:rsidRPr="001876A1" w:rsidRDefault="001876A1" w:rsidP="001876A1">
            <w:pPr>
              <w:pStyle w:val="Table-Text"/>
            </w:pPr>
            <w:r w:rsidRPr="001876A1">
              <w:t>31 December 2022</w:t>
            </w:r>
          </w:p>
        </w:tc>
      </w:tr>
      <w:tr w:rsidR="00402538" w:rsidRPr="008928F2" w14:paraId="1BDE7D9F" w14:textId="33A2B0AE" w:rsidTr="00B5728A">
        <w:tc>
          <w:tcPr>
            <w:tcW w:w="901" w:type="dxa"/>
            <w:tcBorders>
              <w:bottom w:val="single" w:sz="4" w:space="0" w:color="auto"/>
            </w:tcBorders>
          </w:tcPr>
          <w:p w14:paraId="093E32F3" w14:textId="716A5D5F" w:rsidR="00402538" w:rsidRPr="008928F2" w:rsidRDefault="00402538" w:rsidP="00402538">
            <w:pPr>
              <w:pStyle w:val="Table-Text"/>
            </w:pPr>
            <w:r w:rsidRPr="008928F2">
              <w:lastRenderedPageBreak/>
              <w:t>1.4</w:t>
            </w:r>
          </w:p>
        </w:tc>
        <w:tc>
          <w:tcPr>
            <w:tcW w:w="5278" w:type="dxa"/>
            <w:tcBorders>
              <w:bottom w:val="single" w:sz="4" w:space="0" w:color="auto"/>
            </w:tcBorders>
          </w:tcPr>
          <w:p w14:paraId="6C6B5165" w14:textId="6E46D34C" w:rsidR="00402538" w:rsidRPr="00402538" w:rsidRDefault="00402538" w:rsidP="00402538">
            <w:pPr>
              <w:pStyle w:val="Table-Text"/>
            </w:pPr>
            <w:r w:rsidRPr="00402538">
              <w:t>Design and implement a revised assessment approach incorporating information sharing between agencies, including specifically considering the needs of Aboriginal young people, young people with disability, LGBTIQA+ people, people from CALD backgrounds, individual criminogenic risks and needs, past trauma, learning needs, and understanding the impact of crime.</w:t>
            </w:r>
          </w:p>
        </w:tc>
        <w:tc>
          <w:tcPr>
            <w:tcW w:w="4536" w:type="dxa"/>
            <w:tcBorders>
              <w:bottom w:val="single" w:sz="4" w:space="0" w:color="auto"/>
            </w:tcBorders>
          </w:tcPr>
          <w:p w14:paraId="2FCC0341" w14:textId="5B39E09F" w:rsidR="00402538" w:rsidRPr="00402538" w:rsidRDefault="00402538" w:rsidP="00402538">
            <w:pPr>
              <w:pStyle w:val="Table-Text"/>
            </w:pPr>
            <w:r w:rsidRPr="00402538">
              <w:t>In progress. A revised assessment approach incorporating possible new tools and information sharing is being developed. This deliverable is being incorporated in the Practice Framework project.</w:t>
            </w:r>
          </w:p>
        </w:tc>
        <w:tc>
          <w:tcPr>
            <w:tcW w:w="1418" w:type="dxa"/>
            <w:tcBorders>
              <w:bottom w:val="single" w:sz="4" w:space="0" w:color="auto"/>
            </w:tcBorders>
          </w:tcPr>
          <w:p w14:paraId="7C6220F2" w14:textId="63B94155" w:rsidR="00402538" w:rsidRPr="00402538" w:rsidRDefault="00402538" w:rsidP="00402538">
            <w:pPr>
              <w:pStyle w:val="Table-Text"/>
            </w:pPr>
            <w:r w:rsidRPr="00402538">
              <w:t>DHS</w:t>
            </w:r>
          </w:p>
        </w:tc>
        <w:tc>
          <w:tcPr>
            <w:tcW w:w="1588" w:type="dxa"/>
            <w:tcBorders>
              <w:bottom w:val="single" w:sz="4" w:space="0" w:color="auto"/>
            </w:tcBorders>
          </w:tcPr>
          <w:p w14:paraId="12C9761F" w14:textId="51903B59" w:rsidR="00402538" w:rsidRPr="00402538" w:rsidRDefault="00402538" w:rsidP="00402538">
            <w:pPr>
              <w:pStyle w:val="Table-Text"/>
            </w:pPr>
            <w:r w:rsidRPr="00402538">
              <w:t>31 December 2022</w:t>
            </w:r>
          </w:p>
        </w:tc>
      </w:tr>
      <w:tr w:rsidR="00402538" w:rsidRPr="008928F2" w14:paraId="51D7AC58" w14:textId="5C4DBCED" w:rsidTr="00B5728A">
        <w:tc>
          <w:tcPr>
            <w:tcW w:w="901" w:type="dxa"/>
            <w:tcBorders>
              <w:top w:val="single" w:sz="4" w:space="0" w:color="auto"/>
            </w:tcBorders>
          </w:tcPr>
          <w:p w14:paraId="4BD0111B" w14:textId="4DB043E5" w:rsidR="00402538" w:rsidRPr="008928F2" w:rsidRDefault="00402538" w:rsidP="00402538">
            <w:pPr>
              <w:pStyle w:val="Table-Text"/>
            </w:pPr>
            <w:r w:rsidRPr="008928F2">
              <w:t xml:space="preserve">1.5 </w:t>
            </w:r>
          </w:p>
        </w:tc>
        <w:tc>
          <w:tcPr>
            <w:tcW w:w="5278" w:type="dxa"/>
            <w:tcBorders>
              <w:top w:val="single" w:sz="4" w:space="0" w:color="auto"/>
            </w:tcBorders>
          </w:tcPr>
          <w:p w14:paraId="12518124" w14:textId="0D30ACC4" w:rsidR="00402538" w:rsidRPr="00402538" w:rsidRDefault="00402538" w:rsidP="00402538">
            <w:pPr>
              <w:pStyle w:val="Table-Text"/>
            </w:pPr>
            <w:r w:rsidRPr="00402538">
              <w:t>Work with service partners to formalise, resource, monitor and review connections with existing family-focused programs and services, including those specifically designed for young parents and</w:t>
            </w:r>
            <w:r w:rsidRPr="00402538">
              <w:br/>
              <w:t>family engagement.</w:t>
            </w:r>
          </w:p>
        </w:tc>
        <w:tc>
          <w:tcPr>
            <w:tcW w:w="4536" w:type="dxa"/>
            <w:tcBorders>
              <w:top w:val="single" w:sz="4" w:space="0" w:color="auto"/>
            </w:tcBorders>
          </w:tcPr>
          <w:p w14:paraId="55996308" w14:textId="77777777" w:rsidR="00402538" w:rsidRPr="00402538" w:rsidRDefault="00402538" w:rsidP="00402538">
            <w:pPr>
              <w:pStyle w:val="Table-Text"/>
            </w:pPr>
            <w:r w:rsidRPr="00402538">
              <w:t>In progress. Safer Family Services (SFS) works with service partners to deliver family focused programs including those specifically designed for young parents and family engagement.</w:t>
            </w:r>
          </w:p>
          <w:p w14:paraId="7878FA60" w14:textId="77777777" w:rsidR="00402538" w:rsidRPr="00402538" w:rsidRDefault="00402538" w:rsidP="00402538">
            <w:pPr>
              <w:pStyle w:val="Table-Text"/>
            </w:pPr>
            <w:r w:rsidRPr="00402538">
              <w:t>The Early Intervention Research Directorate also commissions and funds a range of targeted and intensive early intervention and parent support programs operated by the not-for-profit sector to reduce risk, strengthen families, and prevent children from entering the statutory children protection system.</w:t>
            </w:r>
          </w:p>
          <w:p w14:paraId="7EB86C06" w14:textId="542A3839" w:rsidR="00402538" w:rsidRPr="00402538" w:rsidRDefault="00402538" w:rsidP="00402538">
            <w:pPr>
              <w:pStyle w:val="Table-Text"/>
            </w:pPr>
            <w:r w:rsidRPr="00402538">
              <w:t>Youth Justice Services' ongoing engagement with Aboriginal Community-Controlled Organisations is informing formal partnership opportunities working with children and their families</w:t>
            </w:r>
          </w:p>
        </w:tc>
        <w:tc>
          <w:tcPr>
            <w:tcW w:w="1418" w:type="dxa"/>
            <w:tcBorders>
              <w:top w:val="single" w:sz="4" w:space="0" w:color="auto"/>
            </w:tcBorders>
          </w:tcPr>
          <w:p w14:paraId="6E625EB0" w14:textId="29A43CDB" w:rsidR="00402538" w:rsidRPr="00402538" w:rsidRDefault="00402538" w:rsidP="00402538">
            <w:pPr>
              <w:pStyle w:val="Table-Text"/>
            </w:pPr>
            <w:r w:rsidRPr="00402538">
              <w:t>DHS</w:t>
            </w:r>
          </w:p>
        </w:tc>
        <w:tc>
          <w:tcPr>
            <w:tcW w:w="1588" w:type="dxa"/>
            <w:tcBorders>
              <w:top w:val="single" w:sz="4" w:space="0" w:color="auto"/>
            </w:tcBorders>
          </w:tcPr>
          <w:p w14:paraId="7A2F91F9" w14:textId="785455B9" w:rsidR="00402538" w:rsidRPr="00402538" w:rsidRDefault="00402538" w:rsidP="00402538">
            <w:pPr>
              <w:pStyle w:val="Table-Text"/>
            </w:pPr>
            <w:r w:rsidRPr="00402538">
              <w:t>31 December 2022</w:t>
            </w:r>
          </w:p>
        </w:tc>
      </w:tr>
    </w:tbl>
    <w:p w14:paraId="4FAD8E02" w14:textId="15C000CC" w:rsidR="00635705" w:rsidRPr="00635705" w:rsidRDefault="00635705" w:rsidP="00B5728A">
      <w:pPr>
        <w:pStyle w:val="Heading3"/>
      </w:pPr>
      <w:r w:rsidRPr="00890707">
        <w:lastRenderedPageBreak/>
        <w:t>Workforce stability and investment – We equip our people to understand and support young people, their needs, n</w:t>
      </w:r>
      <w:r w:rsidRPr="00635705">
        <w:t>etworks and culture.</w:t>
      </w:r>
    </w:p>
    <w:tbl>
      <w:tblPr>
        <w:tblW w:w="4950" w:type="pct"/>
        <w:tblLayout w:type="fixed"/>
        <w:tblLook w:val="04A0" w:firstRow="1" w:lastRow="0" w:firstColumn="1" w:lastColumn="0" w:noHBand="0" w:noVBand="1"/>
      </w:tblPr>
      <w:tblGrid>
        <w:gridCol w:w="1006"/>
        <w:gridCol w:w="5891"/>
        <w:gridCol w:w="5063"/>
        <w:gridCol w:w="1253"/>
        <w:gridCol w:w="1772"/>
      </w:tblGrid>
      <w:tr w:rsidR="00890707" w:rsidRPr="008928F2" w14:paraId="6BF215EE" w14:textId="77777777" w:rsidTr="00B5728A">
        <w:trPr>
          <w:tblHeader/>
        </w:trPr>
        <w:tc>
          <w:tcPr>
            <w:tcW w:w="901" w:type="dxa"/>
            <w:tcBorders>
              <w:bottom w:val="single" w:sz="4" w:space="0" w:color="auto"/>
            </w:tcBorders>
            <w:shd w:val="clear" w:color="auto" w:fill="F2F2F2" w:themeFill="background1" w:themeFillShade="F2"/>
          </w:tcPr>
          <w:p w14:paraId="4FD9CB0A" w14:textId="34D9ADF7" w:rsidR="00890707" w:rsidRPr="008928F2" w:rsidRDefault="00890707" w:rsidP="008928F2">
            <w:pPr>
              <w:pStyle w:val="Table-Header"/>
            </w:pPr>
            <w:r w:rsidRPr="008928F2">
              <w:t>#</w:t>
            </w:r>
          </w:p>
        </w:tc>
        <w:tc>
          <w:tcPr>
            <w:tcW w:w="5278" w:type="dxa"/>
            <w:tcBorders>
              <w:bottom w:val="single" w:sz="4" w:space="0" w:color="auto"/>
            </w:tcBorders>
            <w:shd w:val="clear" w:color="auto" w:fill="F2F2F2" w:themeFill="background1" w:themeFillShade="F2"/>
          </w:tcPr>
          <w:p w14:paraId="714F1FD0" w14:textId="59EA728C" w:rsidR="00890707" w:rsidRPr="008928F2" w:rsidRDefault="00890707" w:rsidP="008928F2">
            <w:pPr>
              <w:pStyle w:val="Table-Header"/>
            </w:pPr>
            <w:r w:rsidRPr="008928F2">
              <w:t>Project</w:t>
            </w:r>
          </w:p>
        </w:tc>
        <w:tc>
          <w:tcPr>
            <w:tcW w:w="4536" w:type="dxa"/>
            <w:tcBorders>
              <w:bottom w:val="single" w:sz="4" w:space="0" w:color="auto"/>
            </w:tcBorders>
            <w:shd w:val="clear" w:color="auto" w:fill="F2F2F2" w:themeFill="background1" w:themeFillShade="F2"/>
          </w:tcPr>
          <w:p w14:paraId="03845EF5" w14:textId="4D626E92" w:rsidR="00890707" w:rsidRPr="008928F2" w:rsidRDefault="006C7AF8" w:rsidP="008928F2">
            <w:pPr>
              <w:pStyle w:val="Table-Header"/>
            </w:pPr>
            <w:r>
              <w:t>Status</w:t>
            </w:r>
          </w:p>
        </w:tc>
        <w:tc>
          <w:tcPr>
            <w:tcW w:w="1123" w:type="dxa"/>
            <w:tcBorders>
              <w:bottom w:val="single" w:sz="4" w:space="0" w:color="auto"/>
            </w:tcBorders>
            <w:shd w:val="clear" w:color="auto" w:fill="F2F2F2" w:themeFill="background1" w:themeFillShade="F2"/>
          </w:tcPr>
          <w:p w14:paraId="083BA22B" w14:textId="3675A0AC" w:rsidR="00890707" w:rsidRPr="008928F2" w:rsidRDefault="00890707" w:rsidP="008928F2">
            <w:pPr>
              <w:pStyle w:val="Table-Header"/>
            </w:pPr>
            <w:r w:rsidRPr="008928F2">
              <w:t>Lead</w:t>
            </w:r>
          </w:p>
        </w:tc>
        <w:tc>
          <w:tcPr>
            <w:tcW w:w="1588" w:type="dxa"/>
            <w:tcBorders>
              <w:bottom w:val="single" w:sz="4" w:space="0" w:color="auto"/>
            </w:tcBorders>
            <w:shd w:val="clear" w:color="auto" w:fill="F2F2F2" w:themeFill="background1" w:themeFillShade="F2"/>
          </w:tcPr>
          <w:p w14:paraId="72C8F1D5" w14:textId="7C3E6BFE" w:rsidR="00890707" w:rsidRPr="008928F2" w:rsidRDefault="00890707" w:rsidP="008928F2">
            <w:pPr>
              <w:pStyle w:val="Table-Header"/>
            </w:pPr>
            <w:r w:rsidRPr="008928F2">
              <w:t>Timeframe</w:t>
            </w:r>
          </w:p>
        </w:tc>
      </w:tr>
      <w:tr w:rsidR="006C7AF8" w:rsidRPr="008928F2" w14:paraId="7CFBB604" w14:textId="77777777" w:rsidTr="00B5728A">
        <w:tc>
          <w:tcPr>
            <w:tcW w:w="901" w:type="dxa"/>
            <w:tcBorders>
              <w:bottom w:val="single" w:sz="4" w:space="0" w:color="auto"/>
            </w:tcBorders>
          </w:tcPr>
          <w:p w14:paraId="3657E25D" w14:textId="2A67703E" w:rsidR="006C7AF8" w:rsidRPr="008928F2" w:rsidRDefault="006C7AF8" w:rsidP="006C7AF8">
            <w:pPr>
              <w:pStyle w:val="Table-Text"/>
            </w:pPr>
            <w:r w:rsidRPr="008928F2">
              <w:t>2.1</w:t>
            </w:r>
          </w:p>
        </w:tc>
        <w:tc>
          <w:tcPr>
            <w:tcW w:w="5278" w:type="dxa"/>
            <w:tcBorders>
              <w:bottom w:val="single" w:sz="4" w:space="0" w:color="auto"/>
            </w:tcBorders>
          </w:tcPr>
          <w:p w14:paraId="6493E3C6" w14:textId="59554B8B" w:rsidR="006C7AF8" w:rsidRPr="008928F2" w:rsidRDefault="006C7AF8" w:rsidP="006C7AF8">
            <w:pPr>
              <w:pStyle w:val="Table-Text"/>
            </w:pPr>
            <w:r>
              <w:t>Implement a new staffing structure, with clearer areas of responsibility and governance for Youth Justice.</w:t>
            </w:r>
          </w:p>
        </w:tc>
        <w:tc>
          <w:tcPr>
            <w:tcW w:w="4536" w:type="dxa"/>
            <w:tcBorders>
              <w:bottom w:val="single" w:sz="4" w:space="0" w:color="auto"/>
            </w:tcBorders>
          </w:tcPr>
          <w:p w14:paraId="1896028A" w14:textId="383FFECB" w:rsidR="006C7AF8" w:rsidRPr="008928F2" w:rsidRDefault="006C7AF8" w:rsidP="006C7AF8">
            <w:pPr>
              <w:pStyle w:val="Table-Text"/>
            </w:pPr>
            <w:r>
              <w:t>Completed. New staffing structures have been implemented.</w:t>
            </w:r>
          </w:p>
        </w:tc>
        <w:tc>
          <w:tcPr>
            <w:tcW w:w="1123" w:type="dxa"/>
            <w:tcBorders>
              <w:bottom w:val="single" w:sz="4" w:space="0" w:color="auto"/>
            </w:tcBorders>
          </w:tcPr>
          <w:p w14:paraId="4DEC3948" w14:textId="0A1E8FC9" w:rsidR="006C7AF8" w:rsidRPr="008928F2" w:rsidRDefault="006C7AF8" w:rsidP="006C7AF8">
            <w:pPr>
              <w:pStyle w:val="Table-Text"/>
            </w:pPr>
            <w:r>
              <w:t>DHS</w:t>
            </w:r>
          </w:p>
        </w:tc>
        <w:tc>
          <w:tcPr>
            <w:tcW w:w="1588" w:type="dxa"/>
            <w:tcBorders>
              <w:bottom w:val="single" w:sz="4" w:space="0" w:color="auto"/>
            </w:tcBorders>
          </w:tcPr>
          <w:p w14:paraId="7A5E4E21" w14:textId="517EC3EC" w:rsidR="006C7AF8" w:rsidRPr="008928F2" w:rsidRDefault="006C7AF8" w:rsidP="006C7AF8">
            <w:pPr>
              <w:pStyle w:val="Table-Text"/>
            </w:pPr>
            <w:r>
              <w:t>30 June 2020</w:t>
            </w:r>
          </w:p>
        </w:tc>
      </w:tr>
      <w:tr w:rsidR="006C7AF8" w:rsidRPr="008928F2" w14:paraId="5BA72E8B" w14:textId="77777777" w:rsidTr="00B5728A">
        <w:tc>
          <w:tcPr>
            <w:tcW w:w="901" w:type="dxa"/>
            <w:tcBorders>
              <w:top w:val="single" w:sz="4" w:space="0" w:color="auto"/>
              <w:bottom w:val="single" w:sz="4" w:space="0" w:color="auto"/>
            </w:tcBorders>
          </w:tcPr>
          <w:p w14:paraId="21BBC2FB" w14:textId="69A57B04" w:rsidR="006C7AF8" w:rsidRPr="008928F2" w:rsidRDefault="006C7AF8" w:rsidP="006C7AF8">
            <w:pPr>
              <w:pStyle w:val="Table-Text"/>
            </w:pPr>
            <w:r w:rsidRPr="008928F2">
              <w:t xml:space="preserve">2.2 </w:t>
            </w:r>
          </w:p>
        </w:tc>
        <w:tc>
          <w:tcPr>
            <w:tcW w:w="5278" w:type="dxa"/>
            <w:tcBorders>
              <w:top w:val="single" w:sz="4" w:space="0" w:color="auto"/>
              <w:bottom w:val="single" w:sz="4" w:space="0" w:color="auto"/>
            </w:tcBorders>
          </w:tcPr>
          <w:p w14:paraId="3B33E0EA" w14:textId="79C274F3" w:rsidR="006C7AF8" w:rsidRPr="006C7AF8" w:rsidRDefault="006C7AF8" w:rsidP="006C7AF8">
            <w:pPr>
              <w:pStyle w:val="Table-Text"/>
            </w:pPr>
            <w:r w:rsidRPr="006C7AF8">
              <w:t>Increase recruitment and retention of Aboriginal staff.</w:t>
            </w:r>
          </w:p>
        </w:tc>
        <w:tc>
          <w:tcPr>
            <w:tcW w:w="4536" w:type="dxa"/>
            <w:tcBorders>
              <w:top w:val="single" w:sz="4" w:space="0" w:color="auto"/>
              <w:bottom w:val="single" w:sz="4" w:space="0" w:color="auto"/>
            </w:tcBorders>
          </w:tcPr>
          <w:p w14:paraId="340D9141" w14:textId="77777777" w:rsidR="006C7AF8" w:rsidRPr="006C7AF8" w:rsidRDefault="006C7AF8" w:rsidP="006C7AF8">
            <w:pPr>
              <w:pStyle w:val="Table-Text"/>
            </w:pPr>
            <w:r w:rsidRPr="006C7AF8">
              <w:t>In progress. The DHS Aboriginal Recruitment Guide for undertaking culturally inclusive recruitment has been launched. This was developed with the Principal Aboriginal Workforce Consultant and will inform employment strategies for Youth Justice Services.</w:t>
            </w:r>
          </w:p>
          <w:p w14:paraId="078A3193" w14:textId="77777777" w:rsidR="006C7AF8" w:rsidRPr="006C7AF8" w:rsidRDefault="006C7AF8" w:rsidP="006C7AF8">
            <w:pPr>
              <w:pStyle w:val="Table-Text"/>
            </w:pPr>
            <w:r w:rsidRPr="006C7AF8">
              <w:t>On 28 May 2021, the DHS Aboriginal Workforce Strategy was launched. It will guide the development of the Youth Justice Aboriginal recruitment and retention strategy.</w:t>
            </w:r>
          </w:p>
          <w:p w14:paraId="5B9C8867" w14:textId="77777777" w:rsidR="006C7AF8" w:rsidRPr="006C7AF8" w:rsidRDefault="006C7AF8" w:rsidP="006C7AF8">
            <w:pPr>
              <w:pStyle w:val="Table-Text"/>
            </w:pPr>
            <w:r w:rsidRPr="006C7AF8">
              <w:t>A new role, Senior Manager, Aboriginal Practice and Partnerships, was created to provide senior leadership and strategic advice within the department. The role drives strategy and service design focused on building culturally led and responsive services. Aboriginal people engaged in leadership positions in Youth Justice Services increased during 2020.</w:t>
            </w:r>
          </w:p>
          <w:p w14:paraId="504840A8" w14:textId="1F29B382" w:rsidR="006C7AF8" w:rsidRPr="006C7AF8" w:rsidRDefault="006C7AF8" w:rsidP="006C7AF8">
            <w:pPr>
              <w:pStyle w:val="Table-Text"/>
            </w:pPr>
            <w:r w:rsidRPr="006C7AF8">
              <w:lastRenderedPageBreak/>
              <w:t>Kurlana Tapa staff lead targeted Aboriginal recruitment drives during recruitment periods.</w:t>
            </w:r>
          </w:p>
        </w:tc>
        <w:tc>
          <w:tcPr>
            <w:tcW w:w="1123" w:type="dxa"/>
            <w:tcBorders>
              <w:top w:val="single" w:sz="4" w:space="0" w:color="auto"/>
              <w:bottom w:val="single" w:sz="4" w:space="0" w:color="auto"/>
            </w:tcBorders>
          </w:tcPr>
          <w:p w14:paraId="7EE54A17" w14:textId="1DD83EC5" w:rsidR="006C7AF8" w:rsidRPr="006C7AF8" w:rsidRDefault="006C7AF8" w:rsidP="006C7AF8">
            <w:pPr>
              <w:pStyle w:val="Table-Text"/>
            </w:pPr>
            <w:r w:rsidRPr="006C7AF8">
              <w:lastRenderedPageBreak/>
              <w:t>DHS</w:t>
            </w:r>
          </w:p>
        </w:tc>
        <w:tc>
          <w:tcPr>
            <w:tcW w:w="1588" w:type="dxa"/>
            <w:tcBorders>
              <w:top w:val="single" w:sz="4" w:space="0" w:color="auto"/>
              <w:bottom w:val="single" w:sz="4" w:space="0" w:color="auto"/>
            </w:tcBorders>
          </w:tcPr>
          <w:p w14:paraId="3D58451F" w14:textId="0BECDC6B" w:rsidR="006C7AF8" w:rsidRPr="006C7AF8" w:rsidRDefault="006C7AF8" w:rsidP="006C7AF8">
            <w:pPr>
              <w:pStyle w:val="Table-Text"/>
            </w:pPr>
            <w:r w:rsidRPr="006C7AF8">
              <w:t>31 December 2023</w:t>
            </w:r>
          </w:p>
        </w:tc>
      </w:tr>
      <w:tr w:rsidR="006C7AF8" w:rsidRPr="008928F2" w14:paraId="082206D7" w14:textId="77777777" w:rsidTr="00B5728A">
        <w:tc>
          <w:tcPr>
            <w:tcW w:w="901" w:type="dxa"/>
            <w:tcBorders>
              <w:top w:val="single" w:sz="4" w:space="0" w:color="auto"/>
              <w:bottom w:val="single" w:sz="4" w:space="0" w:color="auto"/>
            </w:tcBorders>
          </w:tcPr>
          <w:p w14:paraId="4CA74068" w14:textId="1FE2DD74" w:rsidR="006C7AF8" w:rsidRPr="008928F2" w:rsidRDefault="006C7AF8" w:rsidP="006C7AF8">
            <w:pPr>
              <w:pStyle w:val="Table-Text"/>
            </w:pPr>
            <w:r w:rsidRPr="008928F2">
              <w:t>2.</w:t>
            </w:r>
            <w:r w:rsidRPr="008928F2">
              <w:fldChar w:fldCharType="begin"/>
            </w:r>
            <w:r w:rsidRPr="008928F2">
              <w:instrText xml:space="preserve"> =MAX(Above)+1 </w:instrText>
            </w:r>
            <w:r w:rsidRPr="008928F2">
              <w:fldChar w:fldCharType="separate"/>
            </w:r>
            <w:r w:rsidRPr="008928F2">
              <w:t>3</w:t>
            </w:r>
            <w:r w:rsidRPr="008928F2">
              <w:fldChar w:fldCharType="end"/>
            </w:r>
          </w:p>
        </w:tc>
        <w:tc>
          <w:tcPr>
            <w:tcW w:w="5278" w:type="dxa"/>
            <w:tcBorders>
              <w:top w:val="single" w:sz="4" w:space="0" w:color="auto"/>
              <w:bottom w:val="single" w:sz="4" w:space="0" w:color="auto"/>
            </w:tcBorders>
          </w:tcPr>
          <w:p w14:paraId="475EA581" w14:textId="7D0E4E79" w:rsidR="006C7AF8" w:rsidRPr="006C7AF8" w:rsidRDefault="006C7AF8" w:rsidP="006C7AF8">
            <w:pPr>
              <w:pStyle w:val="Table-Text"/>
            </w:pPr>
            <w:r w:rsidRPr="006C7AF8">
              <w:t>Review internal staff communication processes to identify opportunities for improving information sharing, learning and development and</w:t>
            </w:r>
            <w:r>
              <w:t xml:space="preserve"> </w:t>
            </w:r>
            <w:r w:rsidRPr="006C7AF8">
              <w:t>staff engagement.</w:t>
            </w:r>
          </w:p>
        </w:tc>
        <w:tc>
          <w:tcPr>
            <w:tcW w:w="4536" w:type="dxa"/>
            <w:tcBorders>
              <w:top w:val="single" w:sz="4" w:space="0" w:color="auto"/>
              <w:bottom w:val="single" w:sz="4" w:space="0" w:color="auto"/>
            </w:tcBorders>
          </w:tcPr>
          <w:p w14:paraId="150D6F87" w14:textId="77777777" w:rsidR="006C7AF8" w:rsidRPr="006C7AF8" w:rsidRDefault="006C7AF8" w:rsidP="006C7AF8">
            <w:pPr>
              <w:pStyle w:val="Table-Text"/>
            </w:pPr>
            <w:r w:rsidRPr="006C7AF8">
              <w:t>Completed. The following processes have been set up to improve communication with and between staff:</w:t>
            </w:r>
          </w:p>
          <w:p w14:paraId="3F7C52E7" w14:textId="77777777" w:rsidR="006C7AF8" w:rsidRPr="006C7AF8" w:rsidRDefault="006C7AF8" w:rsidP="006C7AF8">
            <w:pPr>
              <w:pStyle w:val="Bullet-Table"/>
            </w:pPr>
            <w:r w:rsidRPr="006C7AF8">
              <w:t>Workforce development committee, to assess, develop and monitor training and staff development.</w:t>
            </w:r>
          </w:p>
          <w:p w14:paraId="1F853EFD" w14:textId="77777777" w:rsidR="006C7AF8" w:rsidRPr="006C7AF8" w:rsidRDefault="006C7AF8" w:rsidP="006C7AF8">
            <w:pPr>
              <w:pStyle w:val="Bullet-Table"/>
            </w:pPr>
            <w:r w:rsidRPr="006C7AF8">
              <w:t>Workforce tool ‘</w:t>
            </w:r>
            <w:proofErr w:type="spellStart"/>
            <w:r w:rsidRPr="006C7AF8">
              <w:t>Teamgage</w:t>
            </w:r>
            <w:proofErr w:type="spellEnd"/>
            <w:r w:rsidRPr="006C7AF8">
              <w:t>’ is used by DHS staff to assist to identify areas for improvement and provide feedback.</w:t>
            </w:r>
          </w:p>
          <w:p w14:paraId="150029E5" w14:textId="55CE25EF" w:rsidR="006C7AF8" w:rsidRPr="006C7AF8" w:rsidRDefault="006C7AF8" w:rsidP="006C7AF8">
            <w:pPr>
              <w:pStyle w:val="Table-Text"/>
            </w:pPr>
            <w:r w:rsidRPr="006C7AF8">
              <w:t>Youth Justice Services has joined the Community and Family Services Division of DHS to strengthen service alignment.</w:t>
            </w:r>
          </w:p>
        </w:tc>
        <w:tc>
          <w:tcPr>
            <w:tcW w:w="1123" w:type="dxa"/>
            <w:tcBorders>
              <w:top w:val="single" w:sz="4" w:space="0" w:color="auto"/>
              <w:bottom w:val="single" w:sz="4" w:space="0" w:color="auto"/>
            </w:tcBorders>
          </w:tcPr>
          <w:p w14:paraId="4253FC79" w14:textId="60921A3D" w:rsidR="006C7AF8" w:rsidRPr="006C7AF8" w:rsidRDefault="006C7AF8" w:rsidP="006C7AF8">
            <w:pPr>
              <w:pStyle w:val="Table-Text"/>
            </w:pPr>
            <w:r w:rsidRPr="006C7AF8">
              <w:t>DHS</w:t>
            </w:r>
          </w:p>
        </w:tc>
        <w:tc>
          <w:tcPr>
            <w:tcW w:w="1588" w:type="dxa"/>
            <w:tcBorders>
              <w:top w:val="single" w:sz="4" w:space="0" w:color="auto"/>
              <w:bottom w:val="single" w:sz="4" w:space="0" w:color="auto"/>
            </w:tcBorders>
          </w:tcPr>
          <w:p w14:paraId="60057CE3" w14:textId="77777777" w:rsidR="006C7AF8" w:rsidRPr="006C7AF8" w:rsidRDefault="006C7AF8" w:rsidP="006C7AF8">
            <w:pPr>
              <w:pStyle w:val="Table-Text"/>
            </w:pPr>
            <w:r w:rsidRPr="006C7AF8">
              <w:t>30 June 2020.</w:t>
            </w:r>
          </w:p>
          <w:p w14:paraId="2B099655" w14:textId="0135234D" w:rsidR="006C7AF8" w:rsidRPr="006C7AF8" w:rsidRDefault="006C7AF8" w:rsidP="006C7AF8">
            <w:pPr>
              <w:pStyle w:val="Table-Text"/>
            </w:pPr>
            <w:r w:rsidRPr="006C7AF8">
              <w:t>This work is</w:t>
            </w:r>
            <w:r w:rsidRPr="006C7AF8">
              <w:br/>
              <w:t>informing business as usual</w:t>
            </w:r>
          </w:p>
        </w:tc>
      </w:tr>
      <w:tr w:rsidR="006C7AF8" w:rsidRPr="008928F2" w14:paraId="7043A301" w14:textId="77777777" w:rsidTr="00B5728A">
        <w:tc>
          <w:tcPr>
            <w:tcW w:w="901" w:type="dxa"/>
            <w:tcBorders>
              <w:top w:val="single" w:sz="4" w:space="0" w:color="auto"/>
              <w:bottom w:val="single" w:sz="4" w:space="0" w:color="auto"/>
            </w:tcBorders>
          </w:tcPr>
          <w:p w14:paraId="68DFFE06" w14:textId="2A689F99" w:rsidR="006C7AF8" w:rsidRPr="008928F2" w:rsidRDefault="006C7AF8" w:rsidP="006C7AF8">
            <w:pPr>
              <w:pStyle w:val="Table-Text"/>
            </w:pPr>
            <w:r w:rsidRPr="008928F2">
              <w:t>2.</w:t>
            </w:r>
            <w:r w:rsidRPr="008928F2">
              <w:fldChar w:fldCharType="begin"/>
            </w:r>
            <w:r w:rsidRPr="008928F2">
              <w:instrText xml:space="preserve"> =MAX(Above)+1 </w:instrText>
            </w:r>
            <w:r w:rsidRPr="008928F2">
              <w:fldChar w:fldCharType="separate"/>
            </w:r>
            <w:r w:rsidRPr="008928F2">
              <w:t>4</w:t>
            </w:r>
            <w:r w:rsidRPr="008928F2">
              <w:fldChar w:fldCharType="end"/>
            </w:r>
          </w:p>
        </w:tc>
        <w:tc>
          <w:tcPr>
            <w:tcW w:w="5278" w:type="dxa"/>
            <w:tcBorders>
              <w:top w:val="single" w:sz="4" w:space="0" w:color="auto"/>
              <w:bottom w:val="single" w:sz="4" w:space="0" w:color="auto"/>
            </w:tcBorders>
          </w:tcPr>
          <w:p w14:paraId="74211F91" w14:textId="42418D6E" w:rsidR="006C7AF8" w:rsidRPr="008928F2" w:rsidRDefault="006C7AF8" w:rsidP="006C7AF8">
            <w:pPr>
              <w:pStyle w:val="Table-Text"/>
            </w:pPr>
            <w:r>
              <w:t>Implement an enhanced training agenda for staff including priority focus in the areas of trauma responsiveness, cultural safety, Aboriginal languages, disability, substance misuse and family inclusive practice.</w:t>
            </w:r>
          </w:p>
        </w:tc>
        <w:tc>
          <w:tcPr>
            <w:tcW w:w="4536" w:type="dxa"/>
            <w:tcBorders>
              <w:top w:val="single" w:sz="4" w:space="0" w:color="auto"/>
              <w:bottom w:val="single" w:sz="4" w:space="0" w:color="auto"/>
            </w:tcBorders>
          </w:tcPr>
          <w:p w14:paraId="67DB88BB" w14:textId="77777777" w:rsidR="006C7AF8" w:rsidRDefault="006C7AF8" w:rsidP="006C7AF8">
            <w:pPr>
              <w:pStyle w:val="Table-Text"/>
            </w:pPr>
            <w:r>
              <w:t>In progress. The Youth Justice Workforce Development Committee has identified training requirements for Youth Justice Services as identified in 2.3.</w:t>
            </w:r>
          </w:p>
          <w:p w14:paraId="35C4F364" w14:textId="6C194A9E" w:rsidR="006C7AF8" w:rsidRPr="008928F2" w:rsidRDefault="006C7AF8" w:rsidP="006C7AF8">
            <w:pPr>
              <w:pStyle w:val="Table-Text"/>
            </w:pPr>
            <w:r>
              <w:t>The enhanced training agenda will focus on key areas and will be embedded within the Practice Framework.</w:t>
            </w:r>
          </w:p>
        </w:tc>
        <w:tc>
          <w:tcPr>
            <w:tcW w:w="1123" w:type="dxa"/>
            <w:tcBorders>
              <w:top w:val="single" w:sz="4" w:space="0" w:color="auto"/>
              <w:bottom w:val="single" w:sz="4" w:space="0" w:color="auto"/>
            </w:tcBorders>
          </w:tcPr>
          <w:p w14:paraId="5FBA0497" w14:textId="215083B0" w:rsidR="006C7AF8" w:rsidRPr="008928F2" w:rsidRDefault="006C7AF8" w:rsidP="006C7AF8">
            <w:pPr>
              <w:pStyle w:val="Table-Text"/>
            </w:pPr>
            <w:r>
              <w:t>DHS</w:t>
            </w:r>
          </w:p>
        </w:tc>
        <w:tc>
          <w:tcPr>
            <w:tcW w:w="1588" w:type="dxa"/>
            <w:tcBorders>
              <w:top w:val="single" w:sz="4" w:space="0" w:color="auto"/>
              <w:bottom w:val="single" w:sz="4" w:space="0" w:color="auto"/>
            </w:tcBorders>
          </w:tcPr>
          <w:p w14:paraId="7E4EF6B5" w14:textId="28D8CD2F" w:rsidR="006C7AF8" w:rsidRPr="008928F2" w:rsidRDefault="006C7AF8" w:rsidP="006C7AF8">
            <w:pPr>
              <w:pStyle w:val="Table-Text"/>
            </w:pPr>
            <w:r>
              <w:t>31 December 2022</w:t>
            </w:r>
          </w:p>
        </w:tc>
      </w:tr>
      <w:tr w:rsidR="006C7AF8" w:rsidRPr="008928F2" w14:paraId="2023BC4A" w14:textId="77777777" w:rsidTr="00B5728A">
        <w:tc>
          <w:tcPr>
            <w:tcW w:w="901" w:type="dxa"/>
            <w:tcBorders>
              <w:top w:val="single" w:sz="4" w:space="0" w:color="auto"/>
              <w:bottom w:val="single" w:sz="4" w:space="0" w:color="auto"/>
            </w:tcBorders>
          </w:tcPr>
          <w:p w14:paraId="5BF76315" w14:textId="13DBE8D1" w:rsidR="006C7AF8" w:rsidRPr="008928F2" w:rsidRDefault="006C7AF8" w:rsidP="006C7AF8">
            <w:pPr>
              <w:pStyle w:val="Table-Text"/>
            </w:pPr>
            <w:r w:rsidRPr="008928F2">
              <w:t>2.</w:t>
            </w:r>
            <w:r w:rsidRPr="008928F2">
              <w:fldChar w:fldCharType="begin"/>
            </w:r>
            <w:r w:rsidRPr="008928F2">
              <w:instrText xml:space="preserve"> =MAX(Above)+1 </w:instrText>
            </w:r>
            <w:r w:rsidRPr="008928F2">
              <w:fldChar w:fldCharType="separate"/>
            </w:r>
            <w:r w:rsidRPr="008928F2">
              <w:t>5</w:t>
            </w:r>
            <w:r w:rsidRPr="008928F2">
              <w:fldChar w:fldCharType="end"/>
            </w:r>
          </w:p>
        </w:tc>
        <w:tc>
          <w:tcPr>
            <w:tcW w:w="5278" w:type="dxa"/>
            <w:tcBorders>
              <w:top w:val="single" w:sz="4" w:space="0" w:color="auto"/>
              <w:bottom w:val="single" w:sz="4" w:space="0" w:color="auto"/>
            </w:tcBorders>
          </w:tcPr>
          <w:p w14:paraId="3CA0F652" w14:textId="08D863DF" w:rsidR="006C7AF8" w:rsidRPr="006C7AF8" w:rsidRDefault="006C7AF8" w:rsidP="006C7AF8">
            <w:pPr>
              <w:pStyle w:val="Table-Text"/>
            </w:pPr>
            <w:r w:rsidRPr="006C7AF8">
              <w:t>Invest in modern technologies, such as body scanners and body-worn cameras, to strengthen safety and security of staff and young people at Kurlana Tapa.</w:t>
            </w:r>
          </w:p>
        </w:tc>
        <w:tc>
          <w:tcPr>
            <w:tcW w:w="4536" w:type="dxa"/>
            <w:tcBorders>
              <w:top w:val="single" w:sz="4" w:space="0" w:color="auto"/>
              <w:bottom w:val="single" w:sz="4" w:space="0" w:color="auto"/>
            </w:tcBorders>
          </w:tcPr>
          <w:p w14:paraId="06166B87" w14:textId="707C1A48" w:rsidR="006C7AF8" w:rsidRPr="006C7AF8" w:rsidRDefault="006C7AF8" w:rsidP="006C7AF8">
            <w:pPr>
              <w:pStyle w:val="Table-Text"/>
            </w:pPr>
            <w:r w:rsidRPr="006C7AF8">
              <w:t xml:space="preserve">Completed. Body-Worn Cameras have been trialled and body scanners have been installed at the Kurlana Tapa Youth Justice Centre. A full </w:t>
            </w:r>
            <w:r w:rsidRPr="006C7AF8">
              <w:lastRenderedPageBreak/>
              <w:t>analysis of the body-worn cameras trial is underway, with initial positive benefits being seen. Installation of full body scanners has resulted in no partially clothed body searches being conducted.</w:t>
            </w:r>
          </w:p>
        </w:tc>
        <w:tc>
          <w:tcPr>
            <w:tcW w:w="1123" w:type="dxa"/>
            <w:tcBorders>
              <w:top w:val="single" w:sz="4" w:space="0" w:color="auto"/>
              <w:bottom w:val="single" w:sz="4" w:space="0" w:color="auto"/>
            </w:tcBorders>
          </w:tcPr>
          <w:p w14:paraId="2527D550" w14:textId="640925CE" w:rsidR="006C7AF8" w:rsidRPr="006C7AF8" w:rsidRDefault="006C7AF8" w:rsidP="006C7AF8">
            <w:pPr>
              <w:pStyle w:val="Table-Text"/>
            </w:pPr>
            <w:r w:rsidRPr="006C7AF8">
              <w:lastRenderedPageBreak/>
              <w:t>DHS</w:t>
            </w:r>
          </w:p>
        </w:tc>
        <w:tc>
          <w:tcPr>
            <w:tcW w:w="1588" w:type="dxa"/>
            <w:tcBorders>
              <w:top w:val="single" w:sz="4" w:space="0" w:color="auto"/>
              <w:bottom w:val="single" w:sz="4" w:space="0" w:color="auto"/>
            </w:tcBorders>
          </w:tcPr>
          <w:p w14:paraId="042F2B8B" w14:textId="4DFC2E2C" w:rsidR="006C7AF8" w:rsidRPr="006C7AF8" w:rsidRDefault="006C7AF8" w:rsidP="006C7AF8">
            <w:pPr>
              <w:pStyle w:val="Table-Text"/>
            </w:pPr>
            <w:r w:rsidRPr="006C7AF8">
              <w:t xml:space="preserve">31 December 2020, ongoing </w:t>
            </w:r>
            <w:r w:rsidRPr="006C7AF8">
              <w:lastRenderedPageBreak/>
              <w:t>business as usual</w:t>
            </w:r>
          </w:p>
        </w:tc>
      </w:tr>
      <w:tr w:rsidR="006C7AF8" w:rsidRPr="008928F2" w14:paraId="6EA9197F" w14:textId="77777777" w:rsidTr="00B5728A">
        <w:tc>
          <w:tcPr>
            <w:tcW w:w="901" w:type="dxa"/>
            <w:tcBorders>
              <w:top w:val="single" w:sz="4" w:space="0" w:color="auto"/>
              <w:bottom w:val="single" w:sz="4" w:space="0" w:color="auto"/>
            </w:tcBorders>
          </w:tcPr>
          <w:p w14:paraId="61B33C9B" w14:textId="108F0EA4" w:rsidR="006C7AF8" w:rsidRPr="008928F2" w:rsidRDefault="006C7AF8" w:rsidP="006C7AF8">
            <w:pPr>
              <w:pStyle w:val="Table-Text"/>
            </w:pPr>
            <w:r w:rsidRPr="008928F2">
              <w:lastRenderedPageBreak/>
              <w:t>2.</w:t>
            </w:r>
            <w:r w:rsidRPr="008928F2">
              <w:fldChar w:fldCharType="begin"/>
            </w:r>
            <w:r w:rsidRPr="008928F2">
              <w:instrText xml:space="preserve"> =MAX(Above)+1 </w:instrText>
            </w:r>
            <w:r w:rsidRPr="008928F2">
              <w:fldChar w:fldCharType="separate"/>
            </w:r>
            <w:r w:rsidRPr="008928F2">
              <w:t>6</w:t>
            </w:r>
            <w:r w:rsidRPr="008928F2">
              <w:fldChar w:fldCharType="end"/>
            </w:r>
          </w:p>
        </w:tc>
        <w:tc>
          <w:tcPr>
            <w:tcW w:w="5278" w:type="dxa"/>
            <w:tcBorders>
              <w:top w:val="single" w:sz="4" w:space="0" w:color="auto"/>
              <w:bottom w:val="single" w:sz="4" w:space="0" w:color="auto"/>
            </w:tcBorders>
          </w:tcPr>
          <w:p w14:paraId="3428F8BA" w14:textId="78089611" w:rsidR="006C7AF8" w:rsidRPr="006C7AF8" w:rsidRDefault="006C7AF8" w:rsidP="006C7AF8">
            <w:pPr>
              <w:pStyle w:val="Table-Text"/>
            </w:pPr>
            <w:r w:rsidRPr="006C7AF8">
              <w:t>Deliver evidence-based models of therapeutic care which incorporate specialist allied health expertise.</w:t>
            </w:r>
          </w:p>
        </w:tc>
        <w:tc>
          <w:tcPr>
            <w:tcW w:w="4536" w:type="dxa"/>
            <w:tcBorders>
              <w:top w:val="single" w:sz="4" w:space="0" w:color="auto"/>
              <w:bottom w:val="single" w:sz="4" w:space="0" w:color="auto"/>
            </w:tcBorders>
          </w:tcPr>
          <w:p w14:paraId="22DAB90F" w14:textId="7C720FFF" w:rsidR="006C7AF8" w:rsidRPr="006C7AF8" w:rsidRDefault="006C7AF8" w:rsidP="006C7AF8">
            <w:pPr>
              <w:pStyle w:val="Table-Text"/>
            </w:pPr>
            <w:r w:rsidRPr="006C7AF8">
              <w:t>In progress. An Enhanced Support Team is being established at Kurlana Tapa to provide therapeutic care and management of young people with complex needs in the centre.</w:t>
            </w:r>
          </w:p>
        </w:tc>
        <w:tc>
          <w:tcPr>
            <w:tcW w:w="1123" w:type="dxa"/>
            <w:tcBorders>
              <w:top w:val="single" w:sz="4" w:space="0" w:color="auto"/>
              <w:bottom w:val="single" w:sz="4" w:space="0" w:color="auto"/>
            </w:tcBorders>
          </w:tcPr>
          <w:p w14:paraId="3BFA44D9" w14:textId="3EDC935C" w:rsidR="006C7AF8" w:rsidRPr="006C7AF8" w:rsidRDefault="006C7AF8" w:rsidP="006C7AF8">
            <w:pPr>
              <w:pStyle w:val="Table-Text"/>
            </w:pPr>
            <w:r w:rsidRPr="006C7AF8">
              <w:t>DHS</w:t>
            </w:r>
          </w:p>
        </w:tc>
        <w:tc>
          <w:tcPr>
            <w:tcW w:w="1588" w:type="dxa"/>
            <w:tcBorders>
              <w:top w:val="single" w:sz="4" w:space="0" w:color="auto"/>
              <w:bottom w:val="single" w:sz="4" w:space="0" w:color="auto"/>
            </w:tcBorders>
          </w:tcPr>
          <w:p w14:paraId="0B300EDA" w14:textId="2F0E15A7" w:rsidR="006C7AF8" w:rsidRPr="006C7AF8" w:rsidRDefault="006C7AF8" w:rsidP="006C7AF8">
            <w:pPr>
              <w:pStyle w:val="Table-Text"/>
            </w:pPr>
            <w:r w:rsidRPr="006C7AF8">
              <w:t>31 December 2023</w:t>
            </w:r>
          </w:p>
        </w:tc>
      </w:tr>
      <w:tr w:rsidR="006C7AF8" w:rsidRPr="008928F2" w14:paraId="30D4E124" w14:textId="77777777" w:rsidTr="00B5728A">
        <w:tc>
          <w:tcPr>
            <w:tcW w:w="901" w:type="dxa"/>
            <w:tcBorders>
              <w:top w:val="single" w:sz="4" w:space="0" w:color="auto"/>
              <w:bottom w:val="single" w:sz="4" w:space="0" w:color="auto"/>
            </w:tcBorders>
          </w:tcPr>
          <w:p w14:paraId="6F3C5CFB" w14:textId="0F363A7C" w:rsidR="006C7AF8" w:rsidRPr="008928F2" w:rsidRDefault="006C7AF8" w:rsidP="006C7AF8">
            <w:pPr>
              <w:pStyle w:val="Table-Text"/>
            </w:pPr>
            <w:r w:rsidRPr="008928F2">
              <w:t>2.</w:t>
            </w:r>
            <w:r w:rsidRPr="008928F2">
              <w:fldChar w:fldCharType="begin"/>
            </w:r>
            <w:r w:rsidRPr="008928F2">
              <w:instrText xml:space="preserve"> =MAX(Above)+1 </w:instrText>
            </w:r>
            <w:r w:rsidRPr="008928F2">
              <w:fldChar w:fldCharType="separate"/>
            </w:r>
            <w:r w:rsidRPr="008928F2">
              <w:t>7</w:t>
            </w:r>
            <w:r w:rsidRPr="008928F2">
              <w:fldChar w:fldCharType="end"/>
            </w:r>
          </w:p>
        </w:tc>
        <w:tc>
          <w:tcPr>
            <w:tcW w:w="5278" w:type="dxa"/>
            <w:tcBorders>
              <w:top w:val="single" w:sz="4" w:space="0" w:color="auto"/>
              <w:bottom w:val="single" w:sz="4" w:space="0" w:color="auto"/>
            </w:tcBorders>
          </w:tcPr>
          <w:p w14:paraId="79C80928" w14:textId="430364F3" w:rsidR="006C7AF8" w:rsidRPr="008928F2" w:rsidRDefault="006C7AF8" w:rsidP="006C7AF8">
            <w:pPr>
              <w:pStyle w:val="Table-Text"/>
            </w:pPr>
            <w:r>
              <w:t>Contribute to a Communities of Practice approach, where skills and knowledge are shared among service partners.</w:t>
            </w:r>
          </w:p>
        </w:tc>
        <w:tc>
          <w:tcPr>
            <w:tcW w:w="4536" w:type="dxa"/>
            <w:tcBorders>
              <w:top w:val="single" w:sz="4" w:space="0" w:color="auto"/>
              <w:bottom w:val="single" w:sz="4" w:space="0" w:color="auto"/>
            </w:tcBorders>
          </w:tcPr>
          <w:p w14:paraId="0A144D07" w14:textId="74449FC2" w:rsidR="006C7AF8" w:rsidRPr="008928F2" w:rsidRDefault="006C7AF8" w:rsidP="006C7AF8">
            <w:pPr>
              <w:pStyle w:val="Table-Text"/>
            </w:pPr>
            <w:r>
              <w:t>Not commenced.</w:t>
            </w:r>
          </w:p>
        </w:tc>
        <w:tc>
          <w:tcPr>
            <w:tcW w:w="1123" w:type="dxa"/>
            <w:tcBorders>
              <w:top w:val="single" w:sz="4" w:space="0" w:color="auto"/>
              <w:bottom w:val="single" w:sz="4" w:space="0" w:color="auto"/>
            </w:tcBorders>
          </w:tcPr>
          <w:p w14:paraId="47DBC502" w14:textId="07B1BB62" w:rsidR="006C7AF8" w:rsidRPr="008928F2" w:rsidRDefault="006C7AF8" w:rsidP="006C7AF8">
            <w:pPr>
              <w:pStyle w:val="Table-Text"/>
            </w:pPr>
            <w:r>
              <w:t>Joint</w:t>
            </w:r>
          </w:p>
        </w:tc>
        <w:tc>
          <w:tcPr>
            <w:tcW w:w="1588" w:type="dxa"/>
            <w:tcBorders>
              <w:top w:val="single" w:sz="4" w:space="0" w:color="auto"/>
              <w:bottom w:val="single" w:sz="4" w:space="0" w:color="auto"/>
            </w:tcBorders>
          </w:tcPr>
          <w:p w14:paraId="5521B1CC" w14:textId="486E5347" w:rsidR="006C7AF8" w:rsidRPr="008928F2" w:rsidRDefault="006C7AF8" w:rsidP="006C7AF8">
            <w:pPr>
              <w:pStyle w:val="Table-Text"/>
            </w:pPr>
            <w:r>
              <w:t>30 June 2022</w:t>
            </w:r>
          </w:p>
        </w:tc>
      </w:tr>
      <w:tr w:rsidR="006C7AF8" w:rsidRPr="008928F2" w14:paraId="4B14595E" w14:textId="77777777" w:rsidTr="00B5728A">
        <w:tc>
          <w:tcPr>
            <w:tcW w:w="901" w:type="dxa"/>
            <w:tcBorders>
              <w:top w:val="single" w:sz="4" w:space="0" w:color="auto"/>
            </w:tcBorders>
          </w:tcPr>
          <w:p w14:paraId="796F270A" w14:textId="5DE0B254" w:rsidR="006C7AF8" w:rsidRPr="008928F2" w:rsidRDefault="006C7AF8" w:rsidP="006C7AF8">
            <w:pPr>
              <w:pStyle w:val="Table-Text"/>
            </w:pPr>
            <w:r w:rsidRPr="008928F2">
              <w:t>2.</w:t>
            </w:r>
            <w:r w:rsidRPr="008928F2">
              <w:fldChar w:fldCharType="begin"/>
            </w:r>
            <w:r w:rsidRPr="008928F2">
              <w:instrText xml:space="preserve"> =MAX(Above)+1 </w:instrText>
            </w:r>
            <w:r w:rsidRPr="008928F2">
              <w:fldChar w:fldCharType="separate"/>
            </w:r>
            <w:r w:rsidRPr="008928F2">
              <w:t>8</w:t>
            </w:r>
            <w:r w:rsidRPr="008928F2">
              <w:fldChar w:fldCharType="end"/>
            </w:r>
          </w:p>
        </w:tc>
        <w:tc>
          <w:tcPr>
            <w:tcW w:w="5278" w:type="dxa"/>
            <w:tcBorders>
              <w:top w:val="single" w:sz="4" w:space="0" w:color="auto"/>
            </w:tcBorders>
          </w:tcPr>
          <w:p w14:paraId="3839AD3C" w14:textId="2DF1F2C6" w:rsidR="006C7AF8" w:rsidRPr="008928F2" w:rsidRDefault="006C7AF8" w:rsidP="006C7AF8">
            <w:pPr>
              <w:pStyle w:val="Table-Text"/>
            </w:pPr>
            <w:r>
              <w:t>Build capacity and staff morale through improving formalised development pathways for all staff, shared professional development opportunities, mobility options, formalised staff recognition and capability mapping.</w:t>
            </w:r>
          </w:p>
        </w:tc>
        <w:tc>
          <w:tcPr>
            <w:tcW w:w="4536" w:type="dxa"/>
            <w:tcBorders>
              <w:top w:val="single" w:sz="4" w:space="0" w:color="auto"/>
            </w:tcBorders>
          </w:tcPr>
          <w:p w14:paraId="17B7A15A" w14:textId="35FB5804" w:rsidR="006C7AF8" w:rsidRPr="008928F2" w:rsidRDefault="006C7AF8" w:rsidP="006C7AF8">
            <w:pPr>
              <w:pStyle w:val="Table-Text"/>
            </w:pPr>
            <w:r>
              <w:t>In progress. This work is being led by the Youth Justice Workforce Development Committee. A review of the culture and workplace at Kurlana Tapa was completed in January 2021. Recommendations are currently being examined and an action plan is being developed.</w:t>
            </w:r>
          </w:p>
        </w:tc>
        <w:tc>
          <w:tcPr>
            <w:tcW w:w="1123" w:type="dxa"/>
            <w:tcBorders>
              <w:top w:val="single" w:sz="4" w:space="0" w:color="auto"/>
            </w:tcBorders>
          </w:tcPr>
          <w:p w14:paraId="7AB5C944" w14:textId="066C733D" w:rsidR="006C7AF8" w:rsidRPr="008928F2" w:rsidRDefault="006C7AF8" w:rsidP="006C7AF8">
            <w:pPr>
              <w:pStyle w:val="Table-Text"/>
            </w:pPr>
            <w:r>
              <w:t>DHS</w:t>
            </w:r>
          </w:p>
        </w:tc>
        <w:tc>
          <w:tcPr>
            <w:tcW w:w="1588" w:type="dxa"/>
            <w:tcBorders>
              <w:top w:val="single" w:sz="4" w:space="0" w:color="auto"/>
            </w:tcBorders>
          </w:tcPr>
          <w:p w14:paraId="2AF73229" w14:textId="098DA037" w:rsidR="006C7AF8" w:rsidRPr="008928F2" w:rsidRDefault="006C7AF8" w:rsidP="006C7AF8">
            <w:pPr>
              <w:pStyle w:val="Table-Text"/>
            </w:pPr>
            <w:r>
              <w:t>31 December 2021</w:t>
            </w:r>
          </w:p>
        </w:tc>
      </w:tr>
    </w:tbl>
    <w:p w14:paraId="1DF3A02B" w14:textId="72748367" w:rsidR="00635705" w:rsidRPr="00635705" w:rsidRDefault="00635705" w:rsidP="00B5728A">
      <w:pPr>
        <w:pStyle w:val="Heading3"/>
      </w:pPr>
      <w:r w:rsidRPr="00635705">
        <w:lastRenderedPageBreak/>
        <w:t>Connected services – We provide holistic, flexible and connected services to achieve positive lived experiences and lasting outcomes for children and young people, families and communities.</w:t>
      </w:r>
    </w:p>
    <w:tbl>
      <w:tblPr>
        <w:tblW w:w="4950" w:type="pct"/>
        <w:tblLayout w:type="fixed"/>
        <w:tblLook w:val="04A0" w:firstRow="1" w:lastRow="0" w:firstColumn="1" w:lastColumn="0" w:noHBand="0" w:noVBand="1"/>
      </w:tblPr>
      <w:tblGrid>
        <w:gridCol w:w="997"/>
        <w:gridCol w:w="5855"/>
        <w:gridCol w:w="5101"/>
        <w:gridCol w:w="1246"/>
        <w:gridCol w:w="1786"/>
      </w:tblGrid>
      <w:tr w:rsidR="00890707" w:rsidRPr="008928F2" w14:paraId="4B01837C" w14:textId="77777777" w:rsidTr="00B5728A">
        <w:trPr>
          <w:tblHeader/>
        </w:trPr>
        <w:tc>
          <w:tcPr>
            <w:tcW w:w="887" w:type="dxa"/>
            <w:tcBorders>
              <w:bottom w:val="single" w:sz="4" w:space="0" w:color="auto"/>
            </w:tcBorders>
            <w:shd w:val="clear" w:color="auto" w:fill="F2F2F2" w:themeFill="background1" w:themeFillShade="F2"/>
          </w:tcPr>
          <w:p w14:paraId="0BE16BFF" w14:textId="77777777" w:rsidR="00890707" w:rsidRPr="008928F2" w:rsidRDefault="00890707" w:rsidP="008928F2">
            <w:pPr>
              <w:pStyle w:val="Table-Header"/>
            </w:pPr>
            <w:r w:rsidRPr="008928F2">
              <w:t>#</w:t>
            </w:r>
          </w:p>
        </w:tc>
        <w:tc>
          <w:tcPr>
            <w:tcW w:w="5207" w:type="dxa"/>
            <w:tcBorders>
              <w:bottom w:val="single" w:sz="4" w:space="0" w:color="auto"/>
            </w:tcBorders>
            <w:shd w:val="clear" w:color="auto" w:fill="F2F2F2" w:themeFill="background1" w:themeFillShade="F2"/>
          </w:tcPr>
          <w:p w14:paraId="61F8D673" w14:textId="77777777" w:rsidR="00890707" w:rsidRPr="008928F2" w:rsidRDefault="00890707" w:rsidP="008928F2">
            <w:pPr>
              <w:pStyle w:val="Table-Header"/>
            </w:pPr>
            <w:r w:rsidRPr="008928F2">
              <w:t>Project</w:t>
            </w:r>
          </w:p>
        </w:tc>
        <w:tc>
          <w:tcPr>
            <w:tcW w:w="4536" w:type="dxa"/>
            <w:tcBorders>
              <w:bottom w:val="single" w:sz="4" w:space="0" w:color="auto"/>
            </w:tcBorders>
            <w:shd w:val="clear" w:color="auto" w:fill="F2F2F2" w:themeFill="background1" w:themeFillShade="F2"/>
          </w:tcPr>
          <w:p w14:paraId="2247EF2F" w14:textId="77777777" w:rsidR="00890707" w:rsidRPr="008928F2" w:rsidRDefault="00890707" w:rsidP="008928F2">
            <w:pPr>
              <w:pStyle w:val="Table-Header"/>
            </w:pPr>
            <w:r w:rsidRPr="008928F2">
              <w:t>Partners</w:t>
            </w:r>
          </w:p>
        </w:tc>
        <w:tc>
          <w:tcPr>
            <w:tcW w:w="1108" w:type="dxa"/>
            <w:tcBorders>
              <w:bottom w:val="single" w:sz="4" w:space="0" w:color="auto"/>
            </w:tcBorders>
            <w:shd w:val="clear" w:color="auto" w:fill="F2F2F2" w:themeFill="background1" w:themeFillShade="F2"/>
          </w:tcPr>
          <w:p w14:paraId="3CAF9A78" w14:textId="77777777" w:rsidR="00890707" w:rsidRPr="008928F2" w:rsidRDefault="00890707" w:rsidP="008928F2">
            <w:pPr>
              <w:pStyle w:val="Table-Header"/>
            </w:pPr>
            <w:r w:rsidRPr="008928F2">
              <w:t>Lead</w:t>
            </w:r>
          </w:p>
        </w:tc>
        <w:tc>
          <w:tcPr>
            <w:tcW w:w="1588" w:type="dxa"/>
            <w:tcBorders>
              <w:bottom w:val="single" w:sz="4" w:space="0" w:color="auto"/>
            </w:tcBorders>
            <w:shd w:val="clear" w:color="auto" w:fill="F2F2F2" w:themeFill="background1" w:themeFillShade="F2"/>
          </w:tcPr>
          <w:p w14:paraId="37C5B081" w14:textId="77777777" w:rsidR="00890707" w:rsidRPr="008928F2" w:rsidRDefault="00890707" w:rsidP="008928F2">
            <w:pPr>
              <w:pStyle w:val="Table-Header"/>
            </w:pPr>
            <w:r w:rsidRPr="008928F2">
              <w:t>Timeframe</w:t>
            </w:r>
          </w:p>
        </w:tc>
      </w:tr>
      <w:tr w:rsidR="00EF4600" w:rsidRPr="008928F2" w14:paraId="2C0899E9" w14:textId="31FAF1DE" w:rsidTr="00B5728A">
        <w:tc>
          <w:tcPr>
            <w:tcW w:w="887" w:type="dxa"/>
            <w:tcBorders>
              <w:bottom w:val="single" w:sz="4" w:space="0" w:color="auto"/>
            </w:tcBorders>
          </w:tcPr>
          <w:p w14:paraId="3C9BF0F8" w14:textId="2FDDF0EF" w:rsidR="00EF4600" w:rsidRPr="008928F2" w:rsidRDefault="00EF4600" w:rsidP="00EF4600">
            <w:pPr>
              <w:pStyle w:val="Table-Text"/>
            </w:pPr>
            <w:r w:rsidRPr="008928F2">
              <w:t>3.1</w:t>
            </w:r>
          </w:p>
        </w:tc>
        <w:tc>
          <w:tcPr>
            <w:tcW w:w="5207" w:type="dxa"/>
            <w:tcBorders>
              <w:bottom w:val="single" w:sz="4" w:space="0" w:color="auto"/>
            </w:tcBorders>
          </w:tcPr>
          <w:p w14:paraId="37C2D342" w14:textId="43E98298" w:rsidR="00EF4600" w:rsidRPr="008928F2" w:rsidRDefault="00EF4600" w:rsidP="00EF4600">
            <w:pPr>
              <w:pStyle w:val="Table-Text"/>
            </w:pPr>
            <w:r>
              <w:t>Improve diversionary and statutory practice through partnerships with the Attorney-General’s Department, Courts Administration Authority, Department for Correctional Services, and the South Australia Police.</w:t>
            </w:r>
          </w:p>
        </w:tc>
        <w:tc>
          <w:tcPr>
            <w:tcW w:w="4536" w:type="dxa"/>
            <w:tcBorders>
              <w:bottom w:val="single" w:sz="4" w:space="0" w:color="auto"/>
            </w:tcBorders>
          </w:tcPr>
          <w:p w14:paraId="7043CF67" w14:textId="77777777" w:rsidR="00EF4600" w:rsidRDefault="00EF4600" w:rsidP="00EF4600">
            <w:pPr>
              <w:pStyle w:val="Table-Text"/>
            </w:pPr>
            <w:r>
              <w:t>In progress. South Australia is implementing a state-wide Custody Notification Scheme. The scheme will provide a holistic wellbeing check for Aboriginal and Torres Strait Islander people held in police custody, with or without charge, and by doing so reduce preventable Aboriginal and Torres Strait Islander deaths in custody and related harm.</w:t>
            </w:r>
          </w:p>
          <w:p w14:paraId="41ACC79D" w14:textId="7478A431" w:rsidR="00EF4600" w:rsidRPr="008928F2" w:rsidRDefault="00EF4600" w:rsidP="00EF4600">
            <w:pPr>
              <w:pStyle w:val="Table-Text"/>
            </w:pPr>
            <w:r>
              <w:t>DHS, in partnership with SAPOL, will trial a service model to provide an alternative location for police custody for children and young people aged 10–13 years, rather than accommodation at Kurlana Tapa.</w:t>
            </w:r>
          </w:p>
        </w:tc>
        <w:tc>
          <w:tcPr>
            <w:tcW w:w="1108" w:type="dxa"/>
            <w:tcBorders>
              <w:bottom w:val="single" w:sz="4" w:space="0" w:color="auto"/>
            </w:tcBorders>
          </w:tcPr>
          <w:p w14:paraId="29700C61" w14:textId="533FDCB8" w:rsidR="00EF4600" w:rsidRPr="008928F2" w:rsidRDefault="00EF4600" w:rsidP="00EF4600">
            <w:pPr>
              <w:pStyle w:val="Table-Text"/>
            </w:pPr>
            <w:r>
              <w:t>DHS</w:t>
            </w:r>
          </w:p>
        </w:tc>
        <w:tc>
          <w:tcPr>
            <w:tcW w:w="1588" w:type="dxa"/>
            <w:tcBorders>
              <w:bottom w:val="single" w:sz="4" w:space="0" w:color="auto"/>
            </w:tcBorders>
          </w:tcPr>
          <w:p w14:paraId="44E543F4" w14:textId="54034E7E" w:rsidR="00EF4600" w:rsidRPr="008928F2" w:rsidRDefault="00EF4600" w:rsidP="00EF4600">
            <w:pPr>
              <w:pStyle w:val="Table-Text"/>
            </w:pPr>
            <w:r>
              <w:t>31 December 2023</w:t>
            </w:r>
          </w:p>
        </w:tc>
      </w:tr>
      <w:tr w:rsidR="00EF4600" w:rsidRPr="008928F2" w14:paraId="002FAA4A" w14:textId="33583AEC" w:rsidTr="00B5728A">
        <w:tc>
          <w:tcPr>
            <w:tcW w:w="887" w:type="dxa"/>
            <w:tcBorders>
              <w:top w:val="single" w:sz="4" w:space="0" w:color="auto"/>
              <w:bottom w:val="single" w:sz="4" w:space="0" w:color="auto"/>
            </w:tcBorders>
          </w:tcPr>
          <w:p w14:paraId="5E745E8B" w14:textId="2FA52000" w:rsidR="00EF4600" w:rsidRPr="008928F2" w:rsidRDefault="00EF4600" w:rsidP="00EF4600">
            <w:pPr>
              <w:pStyle w:val="Table-Text"/>
            </w:pPr>
            <w:r w:rsidRPr="008928F2">
              <w:t>3.</w:t>
            </w:r>
            <w:r w:rsidRPr="008928F2">
              <w:fldChar w:fldCharType="begin"/>
            </w:r>
            <w:r w:rsidRPr="008928F2">
              <w:instrText xml:space="preserve"> =MAX(Above)+1 </w:instrText>
            </w:r>
            <w:r w:rsidRPr="008928F2">
              <w:fldChar w:fldCharType="separate"/>
            </w:r>
            <w:r w:rsidRPr="008928F2">
              <w:t>2</w:t>
            </w:r>
            <w:r w:rsidRPr="008928F2">
              <w:fldChar w:fldCharType="end"/>
            </w:r>
          </w:p>
        </w:tc>
        <w:tc>
          <w:tcPr>
            <w:tcW w:w="5207" w:type="dxa"/>
            <w:tcBorders>
              <w:top w:val="single" w:sz="4" w:space="0" w:color="auto"/>
              <w:bottom w:val="single" w:sz="4" w:space="0" w:color="auto"/>
            </w:tcBorders>
          </w:tcPr>
          <w:p w14:paraId="6B5E693A" w14:textId="2F6FAA1D" w:rsidR="00EF4600" w:rsidRPr="008928F2" w:rsidRDefault="00EF4600" w:rsidP="00EF4600">
            <w:pPr>
              <w:pStyle w:val="Table-Text"/>
            </w:pPr>
            <w:r>
              <w:t>Partner with Community Services, including Metropolitan Aboriginal Youth and Family Services (MAYFS) and Aboriginal Community Controlled Organisations, to effectively respond to the needs of Aboriginal children and young people.</w:t>
            </w:r>
          </w:p>
        </w:tc>
        <w:tc>
          <w:tcPr>
            <w:tcW w:w="4536" w:type="dxa"/>
            <w:tcBorders>
              <w:top w:val="single" w:sz="4" w:space="0" w:color="auto"/>
              <w:bottom w:val="single" w:sz="4" w:space="0" w:color="auto"/>
            </w:tcBorders>
          </w:tcPr>
          <w:p w14:paraId="14555288" w14:textId="69DDE995" w:rsidR="00EF4600" w:rsidRPr="008928F2" w:rsidRDefault="00EF4600" w:rsidP="00EF4600">
            <w:pPr>
              <w:pStyle w:val="Table-Text"/>
            </w:pPr>
            <w:r>
              <w:t xml:space="preserve">In progress. An Aboriginal Community-Controlled Organisation Forum was held in April 2021 to strengthen and initiate information-sharing and partnership opportunities between Aboriginal Community Controlled Organisations and Youth Justice Services, to effectively respond to the needs of Aboriginal children and young people, their families, and communities. Three further forums will be held in 2021 (two </w:t>
            </w:r>
            <w:r>
              <w:lastRenderedPageBreak/>
              <w:t>in regional locations) where the cultural framework will be discussed further.</w:t>
            </w:r>
          </w:p>
        </w:tc>
        <w:tc>
          <w:tcPr>
            <w:tcW w:w="1108" w:type="dxa"/>
            <w:tcBorders>
              <w:top w:val="single" w:sz="4" w:space="0" w:color="auto"/>
              <w:bottom w:val="single" w:sz="4" w:space="0" w:color="auto"/>
            </w:tcBorders>
          </w:tcPr>
          <w:p w14:paraId="213EEDCD" w14:textId="0156EB2D" w:rsidR="00EF4600" w:rsidRPr="008928F2" w:rsidRDefault="00EF4600" w:rsidP="00EF4600">
            <w:pPr>
              <w:pStyle w:val="Table-Text"/>
            </w:pPr>
            <w:r>
              <w:lastRenderedPageBreak/>
              <w:t>DHS</w:t>
            </w:r>
          </w:p>
        </w:tc>
        <w:tc>
          <w:tcPr>
            <w:tcW w:w="1588" w:type="dxa"/>
            <w:tcBorders>
              <w:top w:val="single" w:sz="4" w:space="0" w:color="auto"/>
              <w:bottom w:val="single" w:sz="4" w:space="0" w:color="auto"/>
            </w:tcBorders>
          </w:tcPr>
          <w:p w14:paraId="56A16DFB" w14:textId="7E88BBFD" w:rsidR="00EF4600" w:rsidRPr="008928F2" w:rsidRDefault="00EF4600" w:rsidP="00EF4600">
            <w:pPr>
              <w:pStyle w:val="Table-Text"/>
            </w:pPr>
            <w:r>
              <w:t>December 2022</w:t>
            </w:r>
          </w:p>
        </w:tc>
      </w:tr>
      <w:tr w:rsidR="00EF4600" w:rsidRPr="008928F2" w14:paraId="62F51EE2" w14:textId="47EBB267" w:rsidTr="00B5728A">
        <w:tc>
          <w:tcPr>
            <w:tcW w:w="887" w:type="dxa"/>
            <w:tcBorders>
              <w:top w:val="single" w:sz="4" w:space="0" w:color="auto"/>
              <w:bottom w:val="single" w:sz="4" w:space="0" w:color="auto"/>
            </w:tcBorders>
          </w:tcPr>
          <w:p w14:paraId="74509AFB" w14:textId="08EC57ED" w:rsidR="00EF4600" w:rsidRPr="008928F2" w:rsidRDefault="00EF4600" w:rsidP="00EF4600">
            <w:pPr>
              <w:pStyle w:val="Table-Text"/>
            </w:pPr>
            <w:r w:rsidRPr="008928F2">
              <w:t>3.</w:t>
            </w:r>
            <w:r w:rsidRPr="008928F2">
              <w:fldChar w:fldCharType="begin"/>
            </w:r>
            <w:r w:rsidRPr="008928F2">
              <w:instrText xml:space="preserve"> =MAX(Above)+1 </w:instrText>
            </w:r>
            <w:r w:rsidRPr="008928F2">
              <w:fldChar w:fldCharType="separate"/>
            </w:r>
            <w:r w:rsidRPr="008928F2">
              <w:t>3</w:t>
            </w:r>
            <w:r w:rsidRPr="008928F2">
              <w:fldChar w:fldCharType="end"/>
            </w:r>
          </w:p>
        </w:tc>
        <w:tc>
          <w:tcPr>
            <w:tcW w:w="5207" w:type="dxa"/>
            <w:tcBorders>
              <w:top w:val="single" w:sz="4" w:space="0" w:color="auto"/>
              <w:bottom w:val="single" w:sz="4" w:space="0" w:color="auto"/>
            </w:tcBorders>
          </w:tcPr>
          <w:p w14:paraId="2CE9DEDA" w14:textId="1DA7FFB0" w:rsidR="00EF4600" w:rsidRPr="008928F2" w:rsidRDefault="00EF4600" w:rsidP="00EF4600">
            <w:pPr>
              <w:pStyle w:val="Table-Text"/>
            </w:pPr>
            <w:r>
              <w:t>Partner with the Department for Child Protection to better meet the needs of dual clients.</w:t>
            </w:r>
          </w:p>
        </w:tc>
        <w:tc>
          <w:tcPr>
            <w:tcW w:w="4536" w:type="dxa"/>
            <w:tcBorders>
              <w:top w:val="single" w:sz="4" w:space="0" w:color="auto"/>
              <w:bottom w:val="single" w:sz="4" w:space="0" w:color="auto"/>
            </w:tcBorders>
          </w:tcPr>
          <w:p w14:paraId="00ED8BBC" w14:textId="5108D236" w:rsidR="00EF4600" w:rsidRPr="008928F2" w:rsidRDefault="00EF4600" w:rsidP="00EF4600">
            <w:pPr>
              <w:pStyle w:val="Table-Text"/>
            </w:pPr>
            <w:r>
              <w:t>Completed. DHS developed a shared action plan in partnership with DCP to strengthen connections and work towards better outcomes for children and young people in both the youth justice and child protection systems.</w:t>
            </w:r>
          </w:p>
        </w:tc>
        <w:tc>
          <w:tcPr>
            <w:tcW w:w="1108" w:type="dxa"/>
            <w:tcBorders>
              <w:top w:val="single" w:sz="4" w:space="0" w:color="auto"/>
              <w:bottom w:val="single" w:sz="4" w:space="0" w:color="auto"/>
            </w:tcBorders>
          </w:tcPr>
          <w:p w14:paraId="6FA560B4" w14:textId="5A754233" w:rsidR="00EF4600" w:rsidRPr="008928F2" w:rsidRDefault="00EF4600" w:rsidP="00EF4600">
            <w:pPr>
              <w:pStyle w:val="Table-Text"/>
            </w:pPr>
            <w:r>
              <w:t>DHS</w:t>
            </w:r>
          </w:p>
        </w:tc>
        <w:tc>
          <w:tcPr>
            <w:tcW w:w="1588" w:type="dxa"/>
            <w:tcBorders>
              <w:top w:val="single" w:sz="4" w:space="0" w:color="auto"/>
              <w:bottom w:val="single" w:sz="4" w:space="0" w:color="auto"/>
            </w:tcBorders>
          </w:tcPr>
          <w:p w14:paraId="0C5A83A8" w14:textId="5F797D89" w:rsidR="00EF4600" w:rsidRPr="008928F2" w:rsidRDefault="00EF4600" w:rsidP="00EF4600">
            <w:pPr>
              <w:pStyle w:val="Table-Text"/>
            </w:pPr>
            <w:r>
              <w:t>30 June 2021, ongoing business as usual</w:t>
            </w:r>
          </w:p>
        </w:tc>
      </w:tr>
      <w:tr w:rsidR="00EF4600" w:rsidRPr="008928F2" w14:paraId="331A135E" w14:textId="3B261C26" w:rsidTr="00B5728A">
        <w:tc>
          <w:tcPr>
            <w:tcW w:w="887" w:type="dxa"/>
            <w:tcBorders>
              <w:top w:val="single" w:sz="4" w:space="0" w:color="auto"/>
              <w:bottom w:val="single" w:sz="4" w:space="0" w:color="auto"/>
            </w:tcBorders>
          </w:tcPr>
          <w:p w14:paraId="4B22D144" w14:textId="0C510F6C" w:rsidR="00EF4600" w:rsidRPr="008928F2" w:rsidRDefault="00EF4600" w:rsidP="00EF4600">
            <w:pPr>
              <w:pStyle w:val="Table-Text"/>
            </w:pPr>
            <w:r w:rsidRPr="008928F2">
              <w:t>3.</w:t>
            </w:r>
            <w:r w:rsidRPr="008928F2">
              <w:fldChar w:fldCharType="begin"/>
            </w:r>
            <w:r w:rsidRPr="008928F2">
              <w:instrText xml:space="preserve"> =MAX(Above)+1 </w:instrText>
            </w:r>
            <w:r w:rsidRPr="008928F2">
              <w:fldChar w:fldCharType="separate"/>
            </w:r>
            <w:r w:rsidRPr="008928F2">
              <w:t>4</w:t>
            </w:r>
            <w:r w:rsidRPr="008928F2">
              <w:fldChar w:fldCharType="end"/>
            </w:r>
          </w:p>
        </w:tc>
        <w:tc>
          <w:tcPr>
            <w:tcW w:w="5207" w:type="dxa"/>
            <w:tcBorders>
              <w:top w:val="single" w:sz="4" w:space="0" w:color="auto"/>
              <w:bottom w:val="single" w:sz="4" w:space="0" w:color="auto"/>
            </w:tcBorders>
          </w:tcPr>
          <w:p w14:paraId="17E59F8D" w14:textId="40BC222B" w:rsidR="00EF4600" w:rsidRPr="008928F2" w:rsidRDefault="00EF4600" w:rsidP="00EF4600">
            <w:pPr>
              <w:pStyle w:val="Table-Text"/>
            </w:pPr>
            <w:r>
              <w:t>Deliver a targeted approach for school re-engagement through the Youth Education Centre.</w:t>
            </w:r>
          </w:p>
        </w:tc>
        <w:tc>
          <w:tcPr>
            <w:tcW w:w="4536" w:type="dxa"/>
            <w:tcBorders>
              <w:top w:val="single" w:sz="4" w:space="0" w:color="auto"/>
              <w:bottom w:val="single" w:sz="4" w:space="0" w:color="auto"/>
            </w:tcBorders>
          </w:tcPr>
          <w:p w14:paraId="385013BC" w14:textId="0C77AE01" w:rsidR="00EF4600" w:rsidRPr="008928F2" w:rsidRDefault="00EF4600" w:rsidP="00EF4600">
            <w:pPr>
              <w:pStyle w:val="Table-Text"/>
            </w:pPr>
            <w:r>
              <w:t>In progress. Youth Justice Services has partnered with the Department for Education on a shared action plan, including targeted approaches for school re-engagement.</w:t>
            </w:r>
          </w:p>
        </w:tc>
        <w:tc>
          <w:tcPr>
            <w:tcW w:w="1108" w:type="dxa"/>
            <w:tcBorders>
              <w:top w:val="single" w:sz="4" w:space="0" w:color="auto"/>
              <w:bottom w:val="single" w:sz="4" w:space="0" w:color="auto"/>
            </w:tcBorders>
          </w:tcPr>
          <w:p w14:paraId="7C0A1B60" w14:textId="665B22CB" w:rsidR="00EF4600" w:rsidRPr="008928F2" w:rsidRDefault="00EF4600" w:rsidP="00EF4600">
            <w:pPr>
              <w:pStyle w:val="Table-Text"/>
            </w:pPr>
            <w:r>
              <w:t>DHS</w:t>
            </w:r>
          </w:p>
        </w:tc>
        <w:tc>
          <w:tcPr>
            <w:tcW w:w="1588" w:type="dxa"/>
            <w:tcBorders>
              <w:top w:val="single" w:sz="4" w:space="0" w:color="auto"/>
              <w:bottom w:val="single" w:sz="4" w:space="0" w:color="auto"/>
            </w:tcBorders>
          </w:tcPr>
          <w:p w14:paraId="6234F3A5" w14:textId="5152BC0F" w:rsidR="00EF4600" w:rsidRPr="008928F2" w:rsidRDefault="00EF4600" w:rsidP="00EF4600">
            <w:pPr>
              <w:pStyle w:val="Table-Text"/>
            </w:pPr>
            <w:r>
              <w:t>31 October 2021</w:t>
            </w:r>
          </w:p>
        </w:tc>
      </w:tr>
      <w:tr w:rsidR="00EF4600" w:rsidRPr="008928F2" w14:paraId="28731EAD" w14:textId="2422A730" w:rsidTr="00B5728A">
        <w:tc>
          <w:tcPr>
            <w:tcW w:w="887" w:type="dxa"/>
            <w:tcBorders>
              <w:top w:val="single" w:sz="4" w:space="0" w:color="auto"/>
              <w:bottom w:val="single" w:sz="4" w:space="0" w:color="auto"/>
            </w:tcBorders>
            <w:shd w:val="clear" w:color="auto" w:fill="auto"/>
          </w:tcPr>
          <w:p w14:paraId="0953F1AF" w14:textId="70FB8F08" w:rsidR="00EF4600" w:rsidRPr="008928F2" w:rsidRDefault="00EF4600" w:rsidP="00EF4600">
            <w:pPr>
              <w:pStyle w:val="Table-Text"/>
            </w:pPr>
            <w:r w:rsidRPr="008928F2">
              <w:t>3.</w:t>
            </w:r>
            <w:r w:rsidRPr="008928F2">
              <w:fldChar w:fldCharType="begin"/>
            </w:r>
            <w:r w:rsidRPr="008928F2">
              <w:instrText xml:space="preserve"> =MAX(Above)+1 </w:instrText>
            </w:r>
            <w:r w:rsidRPr="008928F2">
              <w:fldChar w:fldCharType="separate"/>
            </w:r>
            <w:r w:rsidRPr="008928F2">
              <w:t>5</w:t>
            </w:r>
            <w:r w:rsidRPr="008928F2">
              <w:fldChar w:fldCharType="end"/>
            </w:r>
          </w:p>
        </w:tc>
        <w:tc>
          <w:tcPr>
            <w:tcW w:w="5207" w:type="dxa"/>
            <w:tcBorders>
              <w:top w:val="single" w:sz="4" w:space="0" w:color="auto"/>
              <w:bottom w:val="single" w:sz="4" w:space="0" w:color="auto"/>
            </w:tcBorders>
          </w:tcPr>
          <w:p w14:paraId="5F25C3C9" w14:textId="1816A356" w:rsidR="00EF4600" w:rsidRPr="008928F2" w:rsidRDefault="00EF4600" w:rsidP="00EF4600">
            <w:pPr>
              <w:pStyle w:val="Table-Text"/>
            </w:pPr>
            <w:r>
              <w:t>Work collaboratively to increase shared accountability for information sharing, consistent approaches, identification of challenges and elimination of duplication when working with children and young people in the youth</w:t>
            </w:r>
            <w:r>
              <w:br/>
              <w:t>justice system.</w:t>
            </w:r>
          </w:p>
        </w:tc>
        <w:tc>
          <w:tcPr>
            <w:tcW w:w="4536" w:type="dxa"/>
            <w:tcBorders>
              <w:top w:val="single" w:sz="4" w:space="0" w:color="auto"/>
              <w:bottom w:val="single" w:sz="4" w:space="0" w:color="auto"/>
            </w:tcBorders>
          </w:tcPr>
          <w:p w14:paraId="7910E95B" w14:textId="3784E4CC" w:rsidR="00EF4600" w:rsidRPr="008928F2" w:rsidRDefault="00EF4600" w:rsidP="00EF4600">
            <w:pPr>
              <w:pStyle w:val="Table-Text"/>
            </w:pPr>
            <w:r>
              <w:t>In progress. This outcome is being addressed through the Practice Framework project, in collaboration with partner agencies.</w:t>
            </w:r>
          </w:p>
        </w:tc>
        <w:tc>
          <w:tcPr>
            <w:tcW w:w="1108" w:type="dxa"/>
            <w:tcBorders>
              <w:top w:val="single" w:sz="4" w:space="0" w:color="auto"/>
              <w:bottom w:val="single" w:sz="4" w:space="0" w:color="auto"/>
            </w:tcBorders>
          </w:tcPr>
          <w:p w14:paraId="5AE6DB3B" w14:textId="004A35B0" w:rsidR="00EF4600" w:rsidRPr="008928F2" w:rsidRDefault="00EF4600" w:rsidP="00EF4600">
            <w:pPr>
              <w:pStyle w:val="Table-Text"/>
            </w:pPr>
            <w:r>
              <w:t>DHS</w:t>
            </w:r>
          </w:p>
        </w:tc>
        <w:tc>
          <w:tcPr>
            <w:tcW w:w="1588" w:type="dxa"/>
            <w:tcBorders>
              <w:top w:val="single" w:sz="4" w:space="0" w:color="auto"/>
              <w:bottom w:val="single" w:sz="4" w:space="0" w:color="auto"/>
            </w:tcBorders>
          </w:tcPr>
          <w:p w14:paraId="55ED08D8" w14:textId="39FA50AB" w:rsidR="00EF4600" w:rsidRPr="008928F2" w:rsidRDefault="00EF4600" w:rsidP="00EF4600">
            <w:pPr>
              <w:pStyle w:val="Table-Text"/>
            </w:pPr>
            <w:r>
              <w:t>31 December 2022</w:t>
            </w:r>
          </w:p>
        </w:tc>
      </w:tr>
      <w:tr w:rsidR="00EF4600" w:rsidRPr="008928F2" w14:paraId="5E0DBFD1" w14:textId="51D960F1" w:rsidTr="00B5728A">
        <w:tc>
          <w:tcPr>
            <w:tcW w:w="887" w:type="dxa"/>
            <w:tcBorders>
              <w:top w:val="single" w:sz="4" w:space="0" w:color="auto"/>
              <w:bottom w:val="single" w:sz="4" w:space="0" w:color="auto"/>
            </w:tcBorders>
          </w:tcPr>
          <w:p w14:paraId="22E82F8E" w14:textId="26CE355B" w:rsidR="00EF4600" w:rsidRPr="008928F2" w:rsidRDefault="00EF4600" w:rsidP="00EF4600">
            <w:pPr>
              <w:pStyle w:val="Table-Text"/>
            </w:pPr>
            <w:r w:rsidRPr="008928F2">
              <w:t>3.</w:t>
            </w:r>
            <w:r w:rsidRPr="008928F2">
              <w:fldChar w:fldCharType="begin"/>
            </w:r>
            <w:r w:rsidRPr="008928F2">
              <w:instrText xml:space="preserve"> =MAX(Above)+1 </w:instrText>
            </w:r>
            <w:r w:rsidRPr="008928F2">
              <w:fldChar w:fldCharType="separate"/>
            </w:r>
            <w:r w:rsidRPr="008928F2">
              <w:t>6</w:t>
            </w:r>
            <w:r w:rsidRPr="008928F2">
              <w:fldChar w:fldCharType="end"/>
            </w:r>
          </w:p>
        </w:tc>
        <w:tc>
          <w:tcPr>
            <w:tcW w:w="5207" w:type="dxa"/>
            <w:tcBorders>
              <w:top w:val="single" w:sz="4" w:space="0" w:color="auto"/>
              <w:bottom w:val="single" w:sz="4" w:space="0" w:color="auto"/>
            </w:tcBorders>
          </w:tcPr>
          <w:p w14:paraId="4AB9BAA4" w14:textId="659B1D91" w:rsidR="00EF4600" w:rsidRPr="008928F2" w:rsidRDefault="00EF4600" w:rsidP="00EF4600">
            <w:pPr>
              <w:pStyle w:val="Table-Text"/>
            </w:pPr>
            <w:r>
              <w:t>Strengthen end-to-end case management and ensure the young person’s voice is at the centre of assessment, planning and</w:t>
            </w:r>
            <w:r>
              <w:br/>
              <w:t>service delivery.</w:t>
            </w:r>
          </w:p>
        </w:tc>
        <w:tc>
          <w:tcPr>
            <w:tcW w:w="4536" w:type="dxa"/>
            <w:tcBorders>
              <w:top w:val="single" w:sz="4" w:space="0" w:color="auto"/>
              <w:bottom w:val="single" w:sz="4" w:space="0" w:color="auto"/>
            </w:tcBorders>
          </w:tcPr>
          <w:p w14:paraId="65F52A0A" w14:textId="0ACA290F" w:rsidR="00EF4600" w:rsidRPr="008928F2" w:rsidRDefault="00EF4600" w:rsidP="00EF4600">
            <w:pPr>
              <w:pStyle w:val="Table-Text"/>
            </w:pPr>
            <w:r>
              <w:t>In progress. This outcome is being addressed through the Practice Framework project.</w:t>
            </w:r>
          </w:p>
        </w:tc>
        <w:tc>
          <w:tcPr>
            <w:tcW w:w="1108" w:type="dxa"/>
            <w:tcBorders>
              <w:top w:val="single" w:sz="4" w:space="0" w:color="auto"/>
              <w:bottom w:val="single" w:sz="4" w:space="0" w:color="auto"/>
            </w:tcBorders>
          </w:tcPr>
          <w:p w14:paraId="05BDF33F" w14:textId="0895CEB6" w:rsidR="00EF4600" w:rsidRPr="008928F2" w:rsidRDefault="00EF4600" w:rsidP="00EF4600">
            <w:pPr>
              <w:pStyle w:val="Table-Text"/>
            </w:pPr>
            <w:r>
              <w:t>DHS</w:t>
            </w:r>
          </w:p>
        </w:tc>
        <w:tc>
          <w:tcPr>
            <w:tcW w:w="1588" w:type="dxa"/>
            <w:tcBorders>
              <w:top w:val="single" w:sz="4" w:space="0" w:color="auto"/>
              <w:bottom w:val="single" w:sz="4" w:space="0" w:color="auto"/>
            </w:tcBorders>
          </w:tcPr>
          <w:p w14:paraId="603B4387" w14:textId="7627E0AC" w:rsidR="00EF4600" w:rsidRPr="008928F2" w:rsidRDefault="00EF4600" w:rsidP="00EF4600">
            <w:pPr>
              <w:pStyle w:val="Table-Text"/>
            </w:pPr>
            <w:r>
              <w:t>31 December 2022</w:t>
            </w:r>
          </w:p>
        </w:tc>
      </w:tr>
      <w:tr w:rsidR="00EF4600" w:rsidRPr="008928F2" w14:paraId="220CF19E" w14:textId="77777777" w:rsidTr="00B5728A">
        <w:tc>
          <w:tcPr>
            <w:tcW w:w="887" w:type="dxa"/>
            <w:tcBorders>
              <w:top w:val="single" w:sz="4" w:space="0" w:color="auto"/>
              <w:bottom w:val="single" w:sz="4" w:space="0" w:color="auto"/>
            </w:tcBorders>
          </w:tcPr>
          <w:p w14:paraId="5F80A255" w14:textId="1FFA4C5A" w:rsidR="00EF4600" w:rsidRPr="008928F2" w:rsidRDefault="00EF4600" w:rsidP="00EF4600">
            <w:pPr>
              <w:pStyle w:val="Table-Text"/>
            </w:pPr>
            <w:r w:rsidRPr="008928F2">
              <w:t>3.</w:t>
            </w:r>
            <w:r w:rsidRPr="008928F2">
              <w:fldChar w:fldCharType="begin"/>
            </w:r>
            <w:r w:rsidRPr="008928F2">
              <w:instrText xml:space="preserve"> =MAX(Above)+1 </w:instrText>
            </w:r>
            <w:r w:rsidRPr="008928F2">
              <w:fldChar w:fldCharType="separate"/>
            </w:r>
            <w:r w:rsidRPr="008928F2">
              <w:t>7</w:t>
            </w:r>
            <w:r w:rsidRPr="008928F2">
              <w:fldChar w:fldCharType="end"/>
            </w:r>
          </w:p>
        </w:tc>
        <w:tc>
          <w:tcPr>
            <w:tcW w:w="5207" w:type="dxa"/>
            <w:tcBorders>
              <w:top w:val="single" w:sz="4" w:space="0" w:color="auto"/>
              <w:bottom w:val="single" w:sz="4" w:space="0" w:color="auto"/>
            </w:tcBorders>
          </w:tcPr>
          <w:p w14:paraId="64E082EC" w14:textId="5C4E1E00" w:rsidR="00EF4600" w:rsidRPr="008928F2" w:rsidRDefault="00EF4600" w:rsidP="00EF4600">
            <w:pPr>
              <w:pStyle w:val="Table-Text"/>
            </w:pPr>
            <w:r>
              <w:t xml:space="preserve">Further develop and market the Youth Justice Victims’ Register to empower victims of crime and consider </w:t>
            </w:r>
            <w:r>
              <w:lastRenderedPageBreak/>
              <w:t>their voices in understanding the impacts</w:t>
            </w:r>
            <w:r>
              <w:br/>
              <w:t>of crime.</w:t>
            </w:r>
          </w:p>
        </w:tc>
        <w:tc>
          <w:tcPr>
            <w:tcW w:w="4536" w:type="dxa"/>
            <w:tcBorders>
              <w:top w:val="single" w:sz="4" w:space="0" w:color="auto"/>
              <w:bottom w:val="single" w:sz="4" w:space="0" w:color="auto"/>
            </w:tcBorders>
          </w:tcPr>
          <w:p w14:paraId="3BE1D75E" w14:textId="77777777" w:rsidR="00EF4600" w:rsidRDefault="00EF4600" w:rsidP="00EF4600">
            <w:pPr>
              <w:pStyle w:val="Table-Text"/>
            </w:pPr>
            <w:r>
              <w:lastRenderedPageBreak/>
              <w:t>Completed. Updated public information, including a new registration form, is available on the DHS website.</w:t>
            </w:r>
          </w:p>
          <w:p w14:paraId="140B9518" w14:textId="6210042B" w:rsidR="00EF4600" w:rsidRPr="008928F2" w:rsidRDefault="00EF4600" w:rsidP="00EF4600">
            <w:pPr>
              <w:pStyle w:val="Table-Text"/>
            </w:pPr>
            <w:r>
              <w:lastRenderedPageBreak/>
              <w:t>Youth Justice Services is a member on the Commissioner for Victims Rights Consultative Committee. This will strengthen the rights of victims and provide opportunities for supporting children and young people in understanding the impact of crime on victims.</w:t>
            </w:r>
          </w:p>
        </w:tc>
        <w:tc>
          <w:tcPr>
            <w:tcW w:w="1108" w:type="dxa"/>
            <w:tcBorders>
              <w:top w:val="single" w:sz="4" w:space="0" w:color="auto"/>
              <w:bottom w:val="single" w:sz="4" w:space="0" w:color="auto"/>
            </w:tcBorders>
          </w:tcPr>
          <w:p w14:paraId="1B6368C7" w14:textId="1B7CC95A" w:rsidR="00EF4600" w:rsidRPr="008928F2" w:rsidRDefault="00EF4600" w:rsidP="00EF4600">
            <w:pPr>
              <w:pStyle w:val="Table-Text"/>
            </w:pPr>
            <w:r>
              <w:lastRenderedPageBreak/>
              <w:t>DHS</w:t>
            </w:r>
          </w:p>
        </w:tc>
        <w:tc>
          <w:tcPr>
            <w:tcW w:w="1588" w:type="dxa"/>
            <w:tcBorders>
              <w:top w:val="single" w:sz="4" w:space="0" w:color="auto"/>
              <w:bottom w:val="single" w:sz="4" w:space="0" w:color="auto"/>
            </w:tcBorders>
          </w:tcPr>
          <w:p w14:paraId="4FB75077" w14:textId="1D455278" w:rsidR="00EF4600" w:rsidRPr="008928F2" w:rsidRDefault="00EF4600" w:rsidP="00EF4600">
            <w:pPr>
              <w:pStyle w:val="Table-Text"/>
            </w:pPr>
            <w:r>
              <w:t>31 December 2020</w:t>
            </w:r>
          </w:p>
        </w:tc>
      </w:tr>
      <w:tr w:rsidR="00EF4600" w:rsidRPr="008928F2" w14:paraId="624D362C" w14:textId="77777777" w:rsidTr="00B5728A">
        <w:tc>
          <w:tcPr>
            <w:tcW w:w="887" w:type="dxa"/>
            <w:tcBorders>
              <w:top w:val="single" w:sz="4" w:space="0" w:color="auto"/>
            </w:tcBorders>
          </w:tcPr>
          <w:p w14:paraId="2E96CB1E" w14:textId="744C5821" w:rsidR="00EF4600" w:rsidRPr="008928F2" w:rsidRDefault="00EF4600" w:rsidP="00EF4600">
            <w:pPr>
              <w:pStyle w:val="Table-Text"/>
            </w:pPr>
            <w:r w:rsidRPr="008928F2">
              <w:t>3.</w:t>
            </w:r>
            <w:r w:rsidRPr="008928F2">
              <w:fldChar w:fldCharType="begin"/>
            </w:r>
            <w:r w:rsidRPr="008928F2">
              <w:instrText xml:space="preserve"> =MAX(Above)+1 </w:instrText>
            </w:r>
            <w:r w:rsidRPr="008928F2">
              <w:fldChar w:fldCharType="separate"/>
            </w:r>
            <w:r w:rsidRPr="008928F2">
              <w:t>8</w:t>
            </w:r>
            <w:r w:rsidRPr="008928F2">
              <w:fldChar w:fldCharType="end"/>
            </w:r>
          </w:p>
        </w:tc>
        <w:tc>
          <w:tcPr>
            <w:tcW w:w="5207" w:type="dxa"/>
            <w:tcBorders>
              <w:top w:val="single" w:sz="4" w:space="0" w:color="auto"/>
            </w:tcBorders>
          </w:tcPr>
          <w:p w14:paraId="69FAFD36" w14:textId="662D4B4A" w:rsidR="00EF4600" w:rsidRPr="008928F2" w:rsidRDefault="00EF4600" w:rsidP="00EF4600">
            <w:pPr>
              <w:pStyle w:val="Table-Text"/>
            </w:pPr>
            <w:r>
              <w:t>Work with the Youth Education Centre to increase accessibility of education for all children and young people in custody including those with learning difficulties, disability, trauma, disadvantage, or placed on restricted routines.</w:t>
            </w:r>
          </w:p>
        </w:tc>
        <w:tc>
          <w:tcPr>
            <w:tcW w:w="4536" w:type="dxa"/>
            <w:tcBorders>
              <w:top w:val="single" w:sz="4" w:space="0" w:color="auto"/>
            </w:tcBorders>
          </w:tcPr>
          <w:p w14:paraId="5CD0ED1D" w14:textId="72AE46A6" w:rsidR="00EF4600" w:rsidRPr="008928F2" w:rsidRDefault="00EF4600" w:rsidP="00EF4600">
            <w:pPr>
              <w:pStyle w:val="Table-Text"/>
            </w:pPr>
            <w:r>
              <w:t>In progress. Youth Justice Services is working closely with the Department for Education on a shared action plan, including increasing accessibility of education for all children and young people in custody.</w:t>
            </w:r>
            <w:r>
              <w:br/>
              <w:t>The upgrade and consolidation of the facilities at Kurlana Tapa includes an additional education space.</w:t>
            </w:r>
          </w:p>
        </w:tc>
        <w:tc>
          <w:tcPr>
            <w:tcW w:w="1108" w:type="dxa"/>
            <w:tcBorders>
              <w:top w:val="single" w:sz="4" w:space="0" w:color="auto"/>
            </w:tcBorders>
          </w:tcPr>
          <w:p w14:paraId="56254BF9" w14:textId="22D9364F" w:rsidR="00EF4600" w:rsidRPr="008928F2" w:rsidRDefault="00EF4600" w:rsidP="00EF4600">
            <w:pPr>
              <w:pStyle w:val="Table-Text"/>
            </w:pPr>
            <w:r>
              <w:t>DHS</w:t>
            </w:r>
          </w:p>
        </w:tc>
        <w:tc>
          <w:tcPr>
            <w:tcW w:w="1588" w:type="dxa"/>
            <w:tcBorders>
              <w:top w:val="single" w:sz="4" w:space="0" w:color="auto"/>
            </w:tcBorders>
          </w:tcPr>
          <w:p w14:paraId="6FE07282" w14:textId="02052CAD" w:rsidR="00EF4600" w:rsidRPr="008928F2" w:rsidRDefault="00EF4600" w:rsidP="00EF4600">
            <w:pPr>
              <w:pStyle w:val="Table-Text"/>
            </w:pPr>
            <w:r>
              <w:t>30 June 2021 ongoing business as usual</w:t>
            </w:r>
          </w:p>
        </w:tc>
      </w:tr>
    </w:tbl>
    <w:p w14:paraId="141DFAB9" w14:textId="39CB8199" w:rsidR="00635705" w:rsidRDefault="00635705" w:rsidP="00B5728A">
      <w:pPr>
        <w:pStyle w:val="Heading3"/>
      </w:pPr>
      <w:r w:rsidRPr="00286927">
        <w:rPr>
          <w:rFonts w:eastAsia="Calibri" w:cstheme="minorHAnsi"/>
        </w:rPr>
        <w:t>Aboriginal cultural connection – We</w:t>
      </w:r>
      <w:r w:rsidRPr="00286927">
        <w:rPr>
          <w:rStyle w:val="normaltextrun"/>
          <w:rFonts w:cstheme="minorHAnsi"/>
          <w:i/>
          <w:iCs/>
        </w:rPr>
        <w:t xml:space="preserve"> will</w:t>
      </w:r>
      <w:r w:rsidRPr="00286927">
        <w:rPr>
          <w:rStyle w:val="normaltextrun"/>
          <w:i/>
          <w:iCs/>
        </w:rPr>
        <w:t xml:space="preserve"> ensure the voices of Aboriginal communities inform and promote strong connection to family, communities, culture, country and language.</w:t>
      </w:r>
    </w:p>
    <w:tbl>
      <w:tblPr>
        <w:tblW w:w="4950" w:type="pct"/>
        <w:tblLayout w:type="fixed"/>
        <w:tblLook w:val="04A0" w:firstRow="1" w:lastRow="0" w:firstColumn="1" w:lastColumn="0" w:noHBand="0" w:noVBand="1"/>
      </w:tblPr>
      <w:tblGrid>
        <w:gridCol w:w="1001"/>
        <w:gridCol w:w="5856"/>
        <w:gridCol w:w="5098"/>
        <w:gridCol w:w="1245"/>
        <w:gridCol w:w="1785"/>
      </w:tblGrid>
      <w:tr w:rsidR="00890707" w:rsidRPr="008928F2" w14:paraId="56F68569" w14:textId="77777777" w:rsidTr="00B5728A">
        <w:trPr>
          <w:tblHeader/>
        </w:trPr>
        <w:tc>
          <w:tcPr>
            <w:tcW w:w="890" w:type="dxa"/>
            <w:tcBorders>
              <w:bottom w:val="single" w:sz="4" w:space="0" w:color="auto"/>
            </w:tcBorders>
            <w:shd w:val="clear" w:color="auto" w:fill="F2F2F2" w:themeFill="background1" w:themeFillShade="F2"/>
          </w:tcPr>
          <w:p w14:paraId="025F8890" w14:textId="77777777" w:rsidR="00890707" w:rsidRPr="008928F2" w:rsidRDefault="00890707" w:rsidP="008928F2">
            <w:pPr>
              <w:pStyle w:val="Table-Header"/>
            </w:pPr>
            <w:r w:rsidRPr="008928F2">
              <w:t>#</w:t>
            </w:r>
          </w:p>
        </w:tc>
        <w:tc>
          <w:tcPr>
            <w:tcW w:w="5210" w:type="dxa"/>
            <w:tcBorders>
              <w:bottom w:val="single" w:sz="4" w:space="0" w:color="auto"/>
            </w:tcBorders>
            <w:shd w:val="clear" w:color="auto" w:fill="F2F2F2" w:themeFill="background1" w:themeFillShade="F2"/>
          </w:tcPr>
          <w:p w14:paraId="2606A141" w14:textId="77777777" w:rsidR="00890707" w:rsidRPr="008928F2" w:rsidRDefault="00890707" w:rsidP="008928F2">
            <w:pPr>
              <w:pStyle w:val="Table-Header"/>
            </w:pPr>
            <w:r w:rsidRPr="008928F2">
              <w:t>Project</w:t>
            </w:r>
          </w:p>
        </w:tc>
        <w:tc>
          <w:tcPr>
            <w:tcW w:w="4536" w:type="dxa"/>
            <w:tcBorders>
              <w:bottom w:val="single" w:sz="4" w:space="0" w:color="auto"/>
            </w:tcBorders>
            <w:shd w:val="clear" w:color="auto" w:fill="F2F2F2" w:themeFill="background1" w:themeFillShade="F2"/>
          </w:tcPr>
          <w:p w14:paraId="67650325" w14:textId="77777777" w:rsidR="00890707" w:rsidRPr="008928F2" w:rsidRDefault="00890707" w:rsidP="008928F2">
            <w:pPr>
              <w:pStyle w:val="Table-Header"/>
            </w:pPr>
            <w:r w:rsidRPr="008928F2">
              <w:t>Partners</w:t>
            </w:r>
          </w:p>
        </w:tc>
        <w:tc>
          <w:tcPr>
            <w:tcW w:w="1108" w:type="dxa"/>
            <w:tcBorders>
              <w:bottom w:val="single" w:sz="4" w:space="0" w:color="auto"/>
            </w:tcBorders>
            <w:shd w:val="clear" w:color="auto" w:fill="F2F2F2" w:themeFill="background1" w:themeFillShade="F2"/>
          </w:tcPr>
          <w:p w14:paraId="29368CB1" w14:textId="77777777" w:rsidR="00890707" w:rsidRPr="008928F2" w:rsidRDefault="00890707" w:rsidP="008928F2">
            <w:pPr>
              <w:pStyle w:val="Table-Header"/>
            </w:pPr>
            <w:r w:rsidRPr="008928F2">
              <w:t>Lead</w:t>
            </w:r>
          </w:p>
        </w:tc>
        <w:tc>
          <w:tcPr>
            <w:tcW w:w="1588" w:type="dxa"/>
            <w:tcBorders>
              <w:bottom w:val="single" w:sz="4" w:space="0" w:color="auto"/>
            </w:tcBorders>
            <w:shd w:val="clear" w:color="auto" w:fill="F2F2F2" w:themeFill="background1" w:themeFillShade="F2"/>
          </w:tcPr>
          <w:p w14:paraId="2CC02B82" w14:textId="77777777" w:rsidR="00890707" w:rsidRPr="008928F2" w:rsidRDefault="00890707" w:rsidP="008928F2">
            <w:pPr>
              <w:pStyle w:val="Table-Header"/>
            </w:pPr>
            <w:r w:rsidRPr="008928F2">
              <w:t>Timeframe</w:t>
            </w:r>
          </w:p>
        </w:tc>
      </w:tr>
      <w:tr w:rsidR="0011702C" w:rsidRPr="008928F2" w14:paraId="341C1098" w14:textId="0CD27B61" w:rsidTr="00B5728A">
        <w:tc>
          <w:tcPr>
            <w:tcW w:w="890" w:type="dxa"/>
            <w:tcBorders>
              <w:bottom w:val="single" w:sz="4" w:space="0" w:color="auto"/>
            </w:tcBorders>
          </w:tcPr>
          <w:p w14:paraId="5E3BF87A" w14:textId="51A13CAC" w:rsidR="0011702C" w:rsidRPr="008928F2" w:rsidRDefault="0011702C" w:rsidP="0011702C">
            <w:pPr>
              <w:pStyle w:val="Table-Text"/>
            </w:pPr>
            <w:r w:rsidRPr="008928F2">
              <w:t>4.1</w:t>
            </w:r>
          </w:p>
        </w:tc>
        <w:tc>
          <w:tcPr>
            <w:tcW w:w="5210" w:type="dxa"/>
            <w:tcBorders>
              <w:bottom w:val="single" w:sz="4" w:space="0" w:color="auto"/>
            </w:tcBorders>
          </w:tcPr>
          <w:p w14:paraId="130E43CD" w14:textId="00C693EF" w:rsidR="0011702C" w:rsidRPr="008928F2" w:rsidRDefault="0011702C" w:rsidP="0011702C">
            <w:pPr>
              <w:pStyle w:val="Table-Text"/>
            </w:pPr>
            <w:r>
              <w:t xml:space="preserve">Support Aboriginal children and young people to identify their own cultural pathways as custodians of their own stories, including through shared use of cultural tools across services (for example, Circles of </w:t>
            </w:r>
            <w:r>
              <w:lastRenderedPageBreak/>
              <w:t>Trust cultural engagement tool and the My Journey individual cultural pathway tool).</w:t>
            </w:r>
          </w:p>
        </w:tc>
        <w:tc>
          <w:tcPr>
            <w:tcW w:w="4536" w:type="dxa"/>
            <w:tcBorders>
              <w:bottom w:val="single" w:sz="4" w:space="0" w:color="auto"/>
            </w:tcBorders>
          </w:tcPr>
          <w:p w14:paraId="5D25D844" w14:textId="77777777" w:rsidR="0011702C" w:rsidRDefault="0011702C" w:rsidP="0011702C">
            <w:pPr>
              <w:pStyle w:val="Table-Text"/>
            </w:pPr>
            <w:r>
              <w:lastRenderedPageBreak/>
              <w:t>In progress. The Circles of Trust tool has been reviewed and a Cultural Framework is under development.</w:t>
            </w:r>
          </w:p>
          <w:p w14:paraId="551C786C" w14:textId="0FE69B7F" w:rsidR="0011702C" w:rsidRPr="008928F2" w:rsidRDefault="0011702C" w:rsidP="0011702C">
            <w:pPr>
              <w:pStyle w:val="Table-Text"/>
            </w:pPr>
            <w:r>
              <w:lastRenderedPageBreak/>
              <w:t>The cultural framework and Practice Framework will be discussed further with ACCOs</w:t>
            </w:r>
          </w:p>
        </w:tc>
        <w:tc>
          <w:tcPr>
            <w:tcW w:w="1108" w:type="dxa"/>
            <w:tcBorders>
              <w:bottom w:val="single" w:sz="4" w:space="0" w:color="auto"/>
            </w:tcBorders>
          </w:tcPr>
          <w:p w14:paraId="0B2E2351" w14:textId="1CE82092" w:rsidR="0011702C" w:rsidRPr="008928F2" w:rsidRDefault="0011702C" w:rsidP="0011702C">
            <w:pPr>
              <w:pStyle w:val="Table-Text"/>
            </w:pPr>
            <w:r>
              <w:lastRenderedPageBreak/>
              <w:t>DHS</w:t>
            </w:r>
          </w:p>
        </w:tc>
        <w:tc>
          <w:tcPr>
            <w:tcW w:w="1588" w:type="dxa"/>
            <w:tcBorders>
              <w:bottom w:val="single" w:sz="4" w:space="0" w:color="auto"/>
            </w:tcBorders>
          </w:tcPr>
          <w:p w14:paraId="3DAF695F" w14:textId="103634D1" w:rsidR="0011702C" w:rsidRPr="008928F2" w:rsidRDefault="0011702C" w:rsidP="0011702C">
            <w:pPr>
              <w:pStyle w:val="Table-Text"/>
            </w:pPr>
            <w:r>
              <w:t>December 2022</w:t>
            </w:r>
          </w:p>
        </w:tc>
      </w:tr>
      <w:tr w:rsidR="0011702C" w:rsidRPr="008928F2" w14:paraId="49725DEF" w14:textId="2845E2C4" w:rsidTr="00B5728A">
        <w:tc>
          <w:tcPr>
            <w:tcW w:w="890" w:type="dxa"/>
            <w:tcBorders>
              <w:top w:val="single" w:sz="4" w:space="0" w:color="auto"/>
              <w:bottom w:val="single" w:sz="4" w:space="0" w:color="auto"/>
            </w:tcBorders>
          </w:tcPr>
          <w:p w14:paraId="2532EEFF" w14:textId="1B18830E" w:rsidR="0011702C" w:rsidRPr="008928F2" w:rsidRDefault="0011702C" w:rsidP="0011702C">
            <w:pPr>
              <w:pStyle w:val="Table-Text"/>
            </w:pPr>
            <w:r w:rsidRPr="008928F2">
              <w:t>4.</w:t>
            </w:r>
            <w:r w:rsidRPr="008928F2">
              <w:fldChar w:fldCharType="begin"/>
            </w:r>
            <w:r w:rsidRPr="008928F2">
              <w:instrText xml:space="preserve"> =MAX(Above)+1 </w:instrText>
            </w:r>
            <w:r w:rsidRPr="008928F2">
              <w:fldChar w:fldCharType="separate"/>
            </w:r>
            <w:r w:rsidRPr="008928F2">
              <w:t>2</w:t>
            </w:r>
            <w:r w:rsidRPr="008928F2">
              <w:fldChar w:fldCharType="end"/>
            </w:r>
          </w:p>
        </w:tc>
        <w:tc>
          <w:tcPr>
            <w:tcW w:w="5210" w:type="dxa"/>
            <w:tcBorders>
              <w:top w:val="single" w:sz="4" w:space="0" w:color="auto"/>
              <w:bottom w:val="single" w:sz="4" w:space="0" w:color="auto"/>
            </w:tcBorders>
          </w:tcPr>
          <w:p w14:paraId="55A61AB1" w14:textId="1B275738" w:rsidR="0011702C" w:rsidRPr="008928F2" w:rsidRDefault="0011702C" w:rsidP="0011702C">
            <w:pPr>
              <w:pStyle w:val="Table-Text"/>
            </w:pPr>
            <w:r>
              <w:t>Finalise the Youth Justice Aboriginal Engagement Plan to formalise how we bring the voices of Aboriginal communities into all activities supporting Aboriginal young people, their families and their communities.</w:t>
            </w:r>
          </w:p>
        </w:tc>
        <w:tc>
          <w:tcPr>
            <w:tcW w:w="4536" w:type="dxa"/>
            <w:tcBorders>
              <w:top w:val="single" w:sz="4" w:space="0" w:color="auto"/>
              <w:bottom w:val="single" w:sz="4" w:space="0" w:color="auto"/>
            </w:tcBorders>
          </w:tcPr>
          <w:p w14:paraId="698DDF04" w14:textId="4F49C135" w:rsidR="0011702C" w:rsidRPr="008928F2" w:rsidRDefault="0011702C" w:rsidP="0011702C">
            <w:pPr>
              <w:pStyle w:val="Table-Text"/>
            </w:pPr>
            <w:r>
              <w:t>In progress. The Aboriginal Engagement Plan will be finalised in partnership with Aboriginal Community-Controlled Organisations.</w:t>
            </w:r>
          </w:p>
        </w:tc>
        <w:tc>
          <w:tcPr>
            <w:tcW w:w="1108" w:type="dxa"/>
            <w:tcBorders>
              <w:top w:val="single" w:sz="4" w:space="0" w:color="auto"/>
              <w:bottom w:val="single" w:sz="4" w:space="0" w:color="auto"/>
            </w:tcBorders>
          </w:tcPr>
          <w:p w14:paraId="0BD2FCF7" w14:textId="5B85DB21" w:rsidR="0011702C" w:rsidRPr="008928F2" w:rsidRDefault="0011702C" w:rsidP="0011702C">
            <w:pPr>
              <w:pStyle w:val="Table-Text"/>
            </w:pPr>
            <w:r>
              <w:t>DHS</w:t>
            </w:r>
          </w:p>
        </w:tc>
        <w:tc>
          <w:tcPr>
            <w:tcW w:w="1588" w:type="dxa"/>
            <w:tcBorders>
              <w:top w:val="single" w:sz="4" w:space="0" w:color="auto"/>
              <w:bottom w:val="single" w:sz="4" w:space="0" w:color="auto"/>
            </w:tcBorders>
          </w:tcPr>
          <w:p w14:paraId="2D24BA70" w14:textId="393468C4" w:rsidR="0011702C" w:rsidRPr="008928F2" w:rsidRDefault="0011702C" w:rsidP="0011702C">
            <w:pPr>
              <w:pStyle w:val="Table-Text"/>
            </w:pPr>
            <w:r>
              <w:t>31 December 2021</w:t>
            </w:r>
          </w:p>
        </w:tc>
      </w:tr>
      <w:tr w:rsidR="0011702C" w:rsidRPr="008928F2" w14:paraId="4937719A" w14:textId="288C848D" w:rsidTr="00B5728A">
        <w:tc>
          <w:tcPr>
            <w:tcW w:w="890" w:type="dxa"/>
            <w:tcBorders>
              <w:top w:val="single" w:sz="4" w:space="0" w:color="auto"/>
              <w:bottom w:val="single" w:sz="4" w:space="0" w:color="auto"/>
            </w:tcBorders>
          </w:tcPr>
          <w:p w14:paraId="50A551C6" w14:textId="42130B32" w:rsidR="0011702C" w:rsidRPr="008928F2" w:rsidRDefault="0011702C" w:rsidP="0011702C">
            <w:pPr>
              <w:pStyle w:val="Table-Text"/>
            </w:pPr>
            <w:r w:rsidRPr="008928F2">
              <w:t>4.</w:t>
            </w:r>
            <w:r w:rsidRPr="008928F2">
              <w:fldChar w:fldCharType="begin"/>
            </w:r>
            <w:r w:rsidRPr="008928F2">
              <w:instrText xml:space="preserve"> =MAX(Above)+1 </w:instrText>
            </w:r>
            <w:r w:rsidRPr="008928F2">
              <w:fldChar w:fldCharType="separate"/>
            </w:r>
            <w:r w:rsidRPr="008928F2">
              <w:t>3</w:t>
            </w:r>
            <w:r w:rsidRPr="008928F2">
              <w:fldChar w:fldCharType="end"/>
            </w:r>
          </w:p>
        </w:tc>
        <w:tc>
          <w:tcPr>
            <w:tcW w:w="5210" w:type="dxa"/>
            <w:tcBorders>
              <w:top w:val="single" w:sz="4" w:space="0" w:color="auto"/>
              <w:bottom w:val="single" w:sz="4" w:space="0" w:color="auto"/>
            </w:tcBorders>
          </w:tcPr>
          <w:p w14:paraId="1C62577E" w14:textId="382AD6C1" w:rsidR="0011702C" w:rsidRPr="008928F2" w:rsidRDefault="0011702C" w:rsidP="0011702C">
            <w:pPr>
              <w:pStyle w:val="Table-Text"/>
            </w:pPr>
            <w:r>
              <w:t>Deliver an Elders visiting program in Kurlana Tapa and explore a community-based equivalent.</w:t>
            </w:r>
          </w:p>
        </w:tc>
        <w:tc>
          <w:tcPr>
            <w:tcW w:w="4536" w:type="dxa"/>
            <w:tcBorders>
              <w:top w:val="single" w:sz="4" w:space="0" w:color="auto"/>
              <w:bottom w:val="single" w:sz="4" w:space="0" w:color="auto"/>
            </w:tcBorders>
          </w:tcPr>
          <w:p w14:paraId="295CFF81" w14:textId="5E7D8C58" w:rsidR="0011702C" w:rsidRPr="008928F2" w:rsidRDefault="0011702C" w:rsidP="0011702C">
            <w:pPr>
              <w:pStyle w:val="Table-Text"/>
            </w:pPr>
            <w:r>
              <w:t>In progress. Programs are being developed in partnership with the DHS Aboriginal Community Reference Group and Aboriginal Community Controlled Organisations.</w:t>
            </w:r>
          </w:p>
        </w:tc>
        <w:tc>
          <w:tcPr>
            <w:tcW w:w="1108" w:type="dxa"/>
            <w:tcBorders>
              <w:top w:val="single" w:sz="4" w:space="0" w:color="auto"/>
              <w:bottom w:val="single" w:sz="4" w:space="0" w:color="auto"/>
            </w:tcBorders>
          </w:tcPr>
          <w:p w14:paraId="3FC03E45" w14:textId="117DEAD5" w:rsidR="0011702C" w:rsidRPr="008928F2" w:rsidRDefault="0011702C" w:rsidP="0011702C">
            <w:pPr>
              <w:pStyle w:val="Table-Text"/>
            </w:pPr>
            <w:r>
              <w:t>DHS</w:t>
            </w:r>
          </w:p>
        </w:tc>
        <w:tc>
          <w:tcPr>
            <w:tcW w:w="1588" w:type="dxa"/>
            <w:tcBorders>
              <w:top w:val="single" w:sz="4" w:space="0" w:color="auto"/>
              <w:bottom w:val="single" w:sz="4" w:space="0" w:color="auto"/>
            </w:tcBorders>
          </w:tcPr>
          <w:p w14:paraId="61A16B09" w14:textId="26A69F35" w:rsidR="0011702C" w:rsidRPr="008928F2" w:rsidRDefault="0011702C" w:rsidP="0011702C">
            <w:pPr>
              <w:pStyle w:val="Table-Text"/>
            </w:pPr>
            <w:r>
              <w:t>31 December 2021</w:t>
            </w:r>
          </w:p>
        </w:tc>
      </w:tr>
      <w:tr w:rsidR="0011702C" w:rsidRPr="008928F2" w14:paraId="749AEC18" w14:textId="1A1A4666" w:rsidTr="00B5728A">
        <w:tc>
          <w:tcPr>
            <w:tcW w:w="890" w:type="dxa"/>
            <w:tcBorders>
              <w:top w:val="single" w:sz="4" w:space="0" w:color="auto"/>
              <w:bottom w:val="single" w:sz="4" w:space="0" w:color="auto"/>
            </w:tcBorders>
          </w:tcPr>
          <w:p w14:paraId="3AB66D26" w14:textId="19744B7B" w:rsidR="0011702C" w:rsidRPr="008928F2" w:rsidRDefault="0011702C" w:rsidP="0011702C">
            <w:pPr>
              <w:pStyle w:val="Table-Text"/>
            </w:pPr>
            <w:r w:rsidRPr="008928F2">
              <w:t>4.</w:t>
            </w:r>
            <w:r w:rsidRPr="008928F2">
              <w:fldChar w:fldCharType="begin"/>
            </w:r>
            <w:r w:rsidRPr="008928F2">
              <w:instrText xml:space="preserve"> =MAX(Above)+1 </w:instrText>
            </w:r>
            <w:r w:rsidRPr="008928F2">
              <w:fldChar w:fldCharType="separate"/>
            </w:r>
            <w:r w:rsidRPr="008928F2">
              <w:t>4</w:t>
            </w:r>
            <w:r w:rsidRPr="008928F2">
              <w:fldChar w:fldCharType="end"/>
            </w:r>
          </w:p>
        </w:tc>
        <w:tc>
          <w:tcPr>
            <w:tcW w:w="5210" w:type="dxa"/>
            <w:tcBorders>
              <w:top w:val="single" w:sz="4" w:space="0" w:color="auto"/>
              <w:bottom w:val="single" w:sz="4" w:space="0" w:color="auto"/>
            </w:tcBorders>
          </w:tcPr>
          <w:p w14:paraId="36BD38AA" w14:textId="3DC8205C" w:rsidR="0011702C" w:rsidRPr="008928F2" w:rsidRDefault="0011702C" w:rsidP="0011702C">
            <w:pPr>
              <w:pStyle w:val="Table-Text"/>
            </w:pPr>
            <w:r>
              <w:t>Engage young people and community to design and develop an Aboriginal cultural trail and cultural connection space at Kurlana Tapa.</w:t>
            </w:r>
          </w:p>
        </w:tc>
        <w:tc>
          <w:tcPr>
            <w:tcW w:w="4536" w:type="dxa"/>
            <w:tcBorders>
              <w:top w:val="single" w:sz="4" w:space="0" w:color="auto"/>
              <w:bottom w:val="single" w:sz="4" w:space="0" w:color="auto"/>
            </w:tcBorders>
          </w:tcPr>
          <w:p w14:paraId="160B2B56" w14:textId="418E51CC" w:rsidR="0011702C" w:rsidRPr="008928F2" w:rsidRDefault="0011702C" w:rsidP="0011702C">
            <w:pPr>
              <w:pStyle w:val="Table-Text"/>
            </w:pPr>
            <w:r>
              <w:t>Completed. The cultural trail has been designed in collaboration with Aboriginal Elders, children and young people. The Cultural Trail and Connection space was officially opened on 23 February 2021.</w:t>
            </w:r>
          </w:p>
        </w:tc>
        <w:tc>
          <w:tcPr>
            <w:tcW w:w="1108" w:type="dxa"/>
            <w:tcBorders>
              <w:top w:val="single" w:sz="4" w:space="0" w:color="auto"/>
              <w:bottom w:val="single" w:sz="4" w:space="0" w:color="auto"/>
            </w:tcBorders>
          </w:tcPr>
          <w:p w14:paraId="2FA890E7" w14:textId="0BE4D9ED" w:rsidR="0011702C" w:rsidRPr="008928F2" w:rsidRDefault="0011702C" w:rsidP="0011702C">
            <w:pPr>
              <w:pStyle w:val="Table-Text"/>
            </w:pPr>
            <w:r>
              <w:t>DHS</w:t>
            </w:r>
          </w:p>
        </w:tc>
        <w:tc>
          <w:tcPr>
            <w:tcW w:w="1588" w:type="dxa"/>
            <w:tcBorders>
              <w:top w:val="single" w:sz="4" w:space="0" w:color="auto"/>
              <w:bottom w:val="single" w:sz="4" w:space="0" w:color="auto"/>
            </w:tcBorders>
          </w:tcPr>
          <w:p w14:paraId="374685EA" w14:textId="65891244" w:rsidR="0011702C" w:rsidRPr="008928F2" w:rsidRDefault="0011702C" w:rsidP="0011702C">
            <w:pPr>
              <w:pStyle w:val="Table-Text"/>
            </w:pPr>
            <w:r>
              <w:t>30 June 2020</w:t>
            </w:r>
          </w:p>
        </w:tc>
      </w:tr>
      <w:tr w:rsidR="0011702C" w:rsidRPr="008928F2" w14:paraId="152E532F" w14:textId="0AD2F211" w:rsidTr="00B5728A">
        <w:tc>
          <w:tcPr>
            <w:tcW w:w="890" w:type="dxa"/>
            <w:tcBorders>
              <w:top w:val="single" w:sz="4" w:space="0" w:color="auto"/>
              <w:bottom w:val="single" w:sz="4" w:space="0" w:color="auto"/>
            </w:tcBorders>
          </w:tcPr>
          <w:p w14:paraId="3DB8DE4D" w14:textId="62CB602A" w:rsidR="0011702C" w:rsidRPr="008928F2" w:rsidRDefault="0011702C" w:rsidP="0011702C">
            <w:pPr>
              <w:pStyle w:val="Table-Text"/>
            </w:pPr>
            <w:r w:rsidRPr="008928F2">
              <w:t>4.</w:t>
            </w:r>
            <w:r w:rsidRPr="008928F2">
              <w:fldChar w:fldCharType="begin"/>
            </w:r>
            <w:r w:rsidRPr="008928F2">
              <w:instrText xml:space="preserve"> =MAX(Above)+1 </w:instrText>
            </w:r>
            <w:r w:rsidRPr="008928F2">
              <w:fldChar w:fldCharType="separate"/>
            </w:r>
            <w:r w:rsidRPr="008928F2">
              <w:t>5</w:t>
            </w:r>
            <w:r w:rsidRPr="008928F2">
              <w:fldChar w:fldCharType="end"/>
            </w:r>
          </w:p>
        </w:tc>
        <w:tc>
          <w:tcPr>
            <w:tcW w:w="5210" w:type="dxa"/>
            <w:tcBorders>
              <w:top w:val="single" w:sz="4" w:space="0" w:color="auto"/>
              <w:bottom w:val="single" w:sz="4" w:space="0" w:color="auto"/>
            </w:tcBorders>
          </w:tcPr>
          <w:p w14:paraId="121F1D15" w14:textId="7E502DAE" w:rsidR="0011702C" w:rsidRPr="008928F2" w:rsidRDefault="0011702C" w:rsidP="0011702C">
            <w:pPr>
              <w:pStyle w:val="Table-Text"/>
            </w:pPr>
            <w:r>
              <w:t>Build on the learnings from Narungga Nations pilot cultural connection program as an exemplar for further cultural connection initiatives.</w:t>
            </w:r>
          </w:p>
        </w:tc>
        <w:tc>
          <w:tcPr>
            <w:tcW w:w="4536" w:type="dxa"/>
            <w:tcBorders>
              <w:top w:val="single" w:sz="4" w:space="0" w:color="auto"/>
              <w:bottom w:val="single" w:sz="4" w:space="0" w:color="auto"/>
            </w:tcBorders>
          </w:tcPr>
          <w:p w14:paraId="237E8F04" w14:textId="64F55542" w:rsidR="0011702C" w:rsidRPr="008928F2" w:rsidRDefault="0011702C" w:rsidP="0011702C">
            <w:pPr>
              <w:pStyle w:val="Table-Text"/>
            </w:pPr>
            <w:r>
              <w:t>In progress. Evaluation planning is under consideration.</w:t>
            </w:r>
          </w:p>
        </w:tc>
        <w:tc>
          <w:tcPr>
            <w:tcW w:w="1108" w:type="dxa"/>
            <w:tcBorders>
              <w:top w:val="single" w:sz="4" w:space="0" w:color="auto"/>
              <w:bottom w:val="single" w:sz="4" w:space="0" w:color="auto"/>
            </w:tcBorders>
          </w:tcPr>
          <w:p w14:paraId="01DC3851" w14:textId="32D4B84B" w:rsidR="0011702C" w:rsidRPr="008928F2" w:rsidRDefault="0011702C" w:rsidP="0011702C">
            <w:pPr>
              <w:pStyle w:val="Table-Text"/>
            </w:pPr>
            <w:r>
              <w:t>DHS</w:t>
            </w:r>
          </w:p>
        </w:tc>
        <w:tc>
          <w:tcPr>
            <w:tcW w:w="1588" w:type="dxa"/>
            <w:tcBorders>
              <w:top w:val="single" w:sz="4" w:space="0" w:color="auto"/>
              <w:bottom w:val="single" w:sz="4" w:space="0" w:color="auto"/>
            </w:tcBorders>
          </w:tcPr>
          <w:p w14:paraId="573E6D50" w14:textId="25AEDDA1" w:rsidR="0011702C" w:rsidRPr="008928F2" w:rsidRDefault="0011702C" w:rsidP="0011702C">
            <w:pPr>
              <w:pStyle w:val="Table-Text"/>
            </w:pPr>
            <w:r>
              <w:t>31 December 2023</w:t>
            </w:r>
          </w:p>
        </w:tc>
      </w:tr>
      <w:tr w:rsidR="0011702C" w:rsidRPr="008928F2" w14:paraId="501D4563" w14:textId="076E83F1" w:rsidTr="00B5728A">
        <w:tc>
          <w:tcPr>
            <w:tcW w:w="890" w:type="dxa"/>
            <w:tcBorders>
              <w:top w:val="single" w:sz="4" w:space="0" w:color="auto"/>
            </w:tcBorders>
          </w:tcPr>
          <w:p w14:paraId="57EA88D7" w14:textId="251927D1" w:rsidR="0011702C" w:rsidRPr="008928F2" w:rsidRDefault="0011702C" w:rsidP="0011702C">
            <w:pPr>
              <w:pStyle w:val="Table-Text"/>
            </w:pPr>
            <w:r w:rsidRPr="008928F2">
              <w:t>4.</w:t>
            </w:r>
            <w:r w:rsidRPr="008928F2">
              <w:fldChar w:fldCharType="begin"/>
            </w:r>
            <w:r w:rsidRPr="008928F2">
              <w:instrText xml:space="preserve"> =MAX(Above)+1 </w:instrText>
            </w:r>
            <w:r w:rsidRPr="008928F2">
              <w:fldChar w:fldCharType="separate"/>
            </w:r>
            <w:r w:rsidRPr="008928F2">
              <w:t>6</w:t>
            </w:r>
            <w:r w:rsidRPr="008928F2">
              <w:fldChar w:fldCharType="end"/>
            </w:r>
          </w:p>
        </w:tc>
        <w:tc>
          <w:tcPr>
            <w:tcW w:w="5210" w:type="dxa"/>
            <w:tcBorders>
              <w:top w:val="single" w:sz="4" w:space="0" w:color="auto"/>
            </w:tcBorders>
          </w:tcPr>
          <w:p w14:paraId="43EE18F0" w14:textId="0E295B2E" w:rsidR="0011702C" w:rsidRPr="008928F2" w:rsidRDefault="0011702C" w:rsidP="0011702C">
            <w:pPr>
              <w:pStyle w:val="Table-Text"/>
            </w:pPr>
            <w:r>
              <w:t>Work with communities and partners to increase learning of language and culture in Kurlana Tapa.</w:t>
            </w:r>
          </w:p>
        </w:tc>
        <w:tc>
          <w:tcPr>
            <w:tcW w:w="4536" w:type="dxa"/>
            <w:tcBorders>
              <w:top w:val="single" w:sz="4" w:space="0" w:color="auto"/>
            </w:tcBorders>
          </w:tcPr>
          <w:p w14:paraId="1A6993DB" w14:textId="639BA16A" w:rsidR="0011702C" w:rsidRPr="008928F2" w:rsidRDefault="0011702C" w:rsidP="0011702C">
            <w:pPr>
              <w:pStyle w:val="Table-Text"/>
            </w:pPr>
            <w:r>
              <w:t>In progress. Discussions have commenced with the Department for Education to implement learning of language in Kurlana Tapa.</w:t>
            </w:r>
          </w:p>
        </w:tc>
        <w:tc>
          <w:tcPr>
            <w:tcW w:w="1108" w:type="dxa"/>
            <w:tcBorders>
              <w:top w:val="single" w:sz="4" w:space="0" w:color="auto"/>
            </w:tcBorders>
          </w:tcPr>
          <w:p w14:paraId="0D9E62D9" w14:textId="648C5811" w:rsidR="0011702C" w:rsidRPr="008928F2" w:rsidRDefault="0011702C" w:rsidP="0011702C">
            <w:pPr>
              <w:pStyle w:val="Table-Text"/>
            </w:pPr>
            <w:r>
              <w:t>DHS</w:t>
            </w:r>
          </w:p>
        </w:tc>
        <w:tc>
          <w:tcPr>
            <w:tcW w:w="1588" w:type="dxa"/>
            <w:tcBorders>
              <w:top w:val="single" w:sz="4" w:space="0" w:color="auto"/>
            </w:tcBorders>
          </w:tcPr>
          <w:p w14:paraId="0C7BA855" w14:textId="771B67FA" w:rsidR="0011702C" w:rsidRPr="008928F2" w:rsidRDefault="0011702C" w:rsidP="0011702C">
            <w:pPr>
              <w:pStyle w:val="Table-Text"/>
            </w:pPr>
            <w:r>
              <w:t>30 June 2022</w:t>
            </w:r>
          </w:p>
        </w:tc>
      </w:tr>
    </w:tbl>
    <w:p w14:paraId="69DDA61D" w14:textId="5FFF63F9" w:rsidR="008D3FC1" w:rsidRPr="00232743" w:rsidRDefault="008D3FC1" w:rsidP="00232743"/>
    <w:p w14:paraId="0F973C9D" w14:textId="414FD58F" w:rsidR="00635705" w:rsidRDefault="00635705" w:rsidP="00B5728A">
      <w:pPr>
        <w:pStyle w:val="Heading3"/>
        <w:rPr>
          <w:rStyle w:val="normaltextrun"/>
          <w:rFonts w:cstheme="minorHAnsi"/>
          <w:i/>
          <w:iCs/>
        </w:rPr>
      </w:pPr>
      <w:r w:rsidRPr="00286927">
        <w:rPr>
          <w:rFonts w:eastAsia="Calibri"/>
        </w:rPr>
        <w:lastRenderedPageBreak/>
        <w:t>Reconnection with community – We</w:t>
      </w:r>
      <w:r w:rsidRPr="00286927">
        <w:rPr>
          <w:rStyle w:val="normaltextrun"/>
          <w:rFonts w:cstheme="minorHAnsi"/>
          <w:i/>
          <w:iCs/>
        </w:rPr>
        <w:t xml:space="preserve"> are clear on our role in supporting children and young people and to connect to community, while maintaining community safety and acknowledging the impact on victims of crime.</w:t>
      </w:r>
    </w:p>
    <w:tbl>
      <w:tblPr>
        <w:tblStyle w:val="TableGrid"/>
        <w:tblW w:w="4950" w:type="pct"/>
        <w:tblLayout w:type="fixed"/>
        <w:tblLook w:val="04A0" w:firstRow="1" w:lastRow="0" w:firstColumn="1" w:lastColumn="0" w:noHBand="0" w:noVBand="1"/>
      </w:tblPr>
      <w:tblGrid>
        <w:gridCol w:w="992"/>
        <w:gridCol w:w="5818"/>
        <w:gridCol w:w="5118"/>
        <w:gridCol w:w="1255"/>
        <w:gridCol w:w="1792"/>
      </w:tblGrid>
      <w:tr w:rsidR="00890707" w14:paraId="62A1C9B8" w14:textId="77777777" w:rsidTr="00B5728A">
        <w:trPr>
          <w:tblHeader/>
        </w:trPr>
        <w:tc>
          <w:tcPr>
            <w:tcW w:w="879" w:type="dxa"/>
            <w:shd w:val="clear" w:color="auto" w:fill="F2F2F2" w:themeFill="background1" w:themeFillShade="F2"/>
          </w:tcPr>
          <w:p w14:paraId="4D05528F" w14:textId="30C996D7" w:rsidR="00890707" w:rsidRDefault="00890707" w:rsidP="00410A76">
            <w:pPr>
              <w:pStyle w:val="Table-Header"/>
              <w:spacing w:line="259" w:lineRule="auto"/>
            </w:pPr>
            <w:r>
              <w:t>#</w:t>
            </w:r>
          </w:p>
        </w:tc>
        <w:tc>
          <w:tcPr>
            <w:tcW w:w="5156" w:type="dxa"/>
            <w:shd w:val="clear" w:color="auto" w:fill="F2F2F2" w:themeFill="background1" w:themeFillShade="F2"/>
          </w:tcPr>
          <w:p w14:paraId="603D095B" w14:textId="6852CC91" w:rsidR="00890707" w:rsidRDefault="00890707" w:rsidP="00410A76">
            <w:pPr>
              <w:pStyle w:val="Table-Header"/>
              <w:spacing w:line="259" w:lineRule="auto"/>
            </w:pPr>
            <w:r>
              <w:t>Project</w:t>
            </w:r>
          </w:p>
        </w:tc>
        <w:tc>
          <w:tcPr>
            <w:tcW w:w="4536" w:type="dxa"/>
            <w:shd w:val="clear" w:color="auto" w:fill="F2F2F2" w:themeFill="background1" w:themeFillShade="F2"/>
          </w:tcPr>
          <w:p w14:paraId="209CE2A5" w14:textId="20232389" w:rsidR="00890707" w:rsidRDefault="00890707" w:rsidP="00410A76">
            <w:pPr>
              <w:pStyle w:val="Table-Header"/>
              <w:spacing w:line="259" w:lineRule="auto"/>
            </w:pPr>
            <w:r>
              <w:t>Partners</w:t>
            </w:r>
          </w:p>
        </w:tc>
        <w:tc>
          <w:tcPr>
            <w:tcW w:w="1112" w:type="dxa"/>
            <w:shd w:val="clear" w:color="auto" w:fill="F2F2F2" w:themeFill="background1" w:themeFillShade="F2"/>
          </w:tcPr>
          <w:p w14:paraId="3DAF8DB6" w14:textId="4BD6B922" w:rsidR="00890707" w:rsidRDefault="00890707" w:rsidP="00410A76">
            <w:pPr>
              <w:pStyle w:val="Table-Header"/>
              <w:spacing w:line="259" w:lineRule="auto"/>
            </w:pPr>
            <w:r>
              <w:t>Lead</w:t>
            </w:r>
          </w:p>
        </w:tc>
        <w:tc>
          <w:tcPr>
            <w:tcW w:w="1588" w:type="dxa"/>
            <w:shd w:val="clear" w:color="auto" w:fill="F2F2F2" w:themeFill="background1" w:themeFillShade="F2"/>
          </w:tcPr>
          <w:p w14:paraId="12DC5AAF" w14:textId="43ED8877" w:rsidR="00890707" w:rsidRDefault="00890707" w:rsidP="00410A76">
            <w:pPr>
              <w:pStyle w:val="Table-Header"/>
              <w:spacing w:line="259" w:lineRule="auto"/>
            </w:pPr>
            <w:r>
              <w:t>Timeframe</w:t>
            </w:r>
          </w:p>
        </w:tc>
      </w:tr>
      <w:tr w:rsidR="00B7604C" w14:paraId="15CF49FB" w14:textId="77777777" w:rsidTr="00B5728A">
        <w:tc>
          <w:tcPr>
            <w:tcW w:w="879" w:type="dxa"/>
          </w:tcPr>
          <w:p w14:paraId="73C4950C" w14:textId="12E4596D" w:rsidR="00B7604C" w:rsidRDefault="00B7604C" w:rsidP="00B7604C">
            <w:r>
              <w:t>5.1</w:t>
            </w:r>
          </w:p>
        </w:tc>
        <w:tc>
          <w:tcPr>
            <w:tcW w:w="5156" w:type="dxa"/>
          </w:tcPr>
          <w:p w14:paraId="5796DB34" w14:textId="1C34EBAD" w:rsidR="00B7604C" w:rsidRDefault="00B7604C" w:rsidP="00B7604C">
            <w:r>
              <w:t>Strengthen pathways for children and young people’s access to targeted training and employment opportunities through increased partnerships with the Department for Innovation and Skills.</w:t>
            </w:r>
          </w:p>
        </w:tc>
        <w:tc>
          <w:tcPr>
            <w:tcW w:w="4536" w:type="dxa"/>
          </w:tcPr>
          <w:p w14:paraId="51643ED1" w14:textId="354200A9" w:rsidR="00B7604C" w:rsidRDefault="00B7604C" w:rsidP="00B7604C">
            <w:r>
              <w:t>Not commenced.</w:t>
            </w:r>
          </w:p>
        </w:tc>
        <w:tc>
          <w:tcPr>
            <w:tcW w:w="1112" w:type="dxa"/>
          </w:tcPr>
          <w:p w14:paraId="0DCACB78" w14:textId="402029C0" w:rsidR="00B7604C" w:rsidRDefault="00B7604C" w:rsidP="00B7604C">
            <w:r>
              <w:t>DHS</w:t>
            </w:r>
          </w:p>
        </w:tc>
        <w:tc>
          <w:tcPr>
            <w:tcW w:w="1588" w:type="dxa"/>
          </w:tcPr>
          <w:p w14:paraId="37EC7184" w14:textId="2CEE7E7C" w:rsidR="00B7604C" w:rsidRDefault="00B7604C" w:rsidP="00B7604C">
            <w:r>
              <w:t>30 June 2022</w:t>
            </w:r>
          </w:p>
        </w:tc>
      </w:tr>
      <w:tr w:rsidR="00B7604C" w14:paraId="19AF8156" w14:textId="77777777" w:rsidTr="00B5728A">
        <w:tc>
          <w:tcPr>
            <w:tcW w:w="879" w:type="dxa"/>
          </w:tcPr>
          <w:p w14:paraId="4C55DB47" w14:textId="461C2F8E" w:rsidR="00B7604C" w:rsidRDefault="00B7604C" w:rsidP="00B7604C">
            <w:r>
              <w:t>5.2</w:t>
            </w:r>
          </w:p>
        </w:tc>
        <w:tc>
          <w:tcPr>
            <w:tcW w:w="5156" w:type="dxa"/>
          </w:tcPr>
          <w:p w14:paraId="14CA1C5F" w14:textId="6ED0998A" w:rsidR="00B7604C" w:rsidRDefault="00B7604C" w:rsidP="00B7604C">
            <w:r>
              <w:t>Design and adopt a set of agreed dashboards of outcome measures with our partners that will be used to monitor change for young people under this State Plan and use these to inform where we invest further resources.</w:t>
            </w:r>
          </w:p>
        </w:tc>
        <w:tc>
          <w:tcPr>
            <w:tcW w:w="4536" w:type="dxa"/>
          </w:tcPr>
          <w:p w14:paraId="28AF195E" w14:textId="539F4821" w:rsidR="00B7604C" w:rsidRDefault="00B7604C" w:rsidP="00B7604C">
            <w:r>
              <w:t>In progress. Shared outcome measures are under consultation with partner agencies.</w:t>
            </w:r>
          </w:p>
        </w:tc>
        <w:tc>
          <w:tcPr>
            <w:tcW w:w="1112" w:type="dxa"/>
          </w:tcPr>
          <w:p w14:paraId="606CEF1B" w14:textId="209F03B7" w:rsidR="00B7604C" w:rsidRDefault="00B7604C" w:rsidP="00B7604C">
            <w:r>
              <w:t>DHS</w:t>
            </w:r>
          </w:p>
        </w:tc>
        <w:tc>
          <w:tcPr>
            <w:tcW w:w="1588" w:type="dxa"/>
          </w:tcPr>
          <w:p w14:paraId="4E1DD558" w14:textId="0F5E4246" w:rsidR="00B7604C" w:rsidRDefault="00B7604C" w:rsidP="00B7604C">
            <w:r>
              <w:t>30 June 2021</w:t>
            </w:r>
          </w:p>
        </w:tc>
      </w:tr>
      <w:tr w:rsidR="00B7604C" w14:paraId="698B7A55" w14:textId="77777777" w:rsidTr="00B5728A">
        <w:tc>
          <w:tcPr>
            <w:tcW w:w="879" w:type="dxa"/>
          </w:tcPr>
          <w:p w14:paraId="7D018480" w14:textId="0984BCA1" w:rsidR="00B7604C" w:rsidRDefault="00B7604C" w:rsidP="00B7604C">
            <w:r>
              <w:t>5.3</w:t>
            </w:r>
          </w:p>
        </w:tc>
        <w:tc>
          <w:tcPr>
            <w:tcW w:w="5156" w:type="dxa"/>
          </w:tcPr>
          <w:p w14:paraId="3E450E8C" w14:textId="031BB605" w:rsidR="00B7604C" w:rsidRDefault="00B7604C" w:rsidP="00B7604C">
            <w:r>
              <w:t>With advice from the Training Centre Review Board, and in consultation with Aboriginal community, review the policies on leave from Kurlana Tapa (section 34 and 40 YJAA), and the process to support Conditional Release applications, to strengthen transition</w:t>
            </w:r>
            <w:r>
              <w:br/>
              <w:t>to community.</w:t>
            </w:r>
          </w:p>
        </w:tc>
        <w:tc>
          <w:tcPr>
            <w:tcW w:w="4536" w:type="dxa"/>
          </w:tcPr>
          <w:p w14:paraId="7A4BE7FF" w14:textId="59228CB8" w:rsidR="00B7604C" w:rsidRDefault="00B7604C" w:rsidP="00B7604C">
            <w:r>
              <w:t>In progress. Relevant internal processes have been reviewed, with a view to informing consultation with key stakeholders including staff, and the Training Centre Review Board.</w:t>
            </w:r>
          </w:p>
        </w:tc>
        <w:tc>
          <w:tcPr>
            <w:tcW w:w="1112" w:type="dxa"/>
          </w:tcPr>
          <w:p w14:paraId="4D102B5B" w14:textId="1D7D63D0" w:rsidR="00B7604C" w:rsidRDefault="00B7604C" w:rsidP="00B7604C">
            <w:r>
              <w:t>DHS</w:t>
            </w:r>
          </w:p>
        </w:tc>
        <w:tc>
          <w:tcPr>
            <w:tcW w:w="1588" w:type="dxa"/>
          </w:tcPr>
          <w:p w14:paraId="005C1682" w14:textId="6E6ADB6E" w:rsidR="00B7604C" w:rsidRDefault="00B7604C" w:rsidP="00B7604C">
            <w:r>
              <w:t>30 June 2021</w:t>
            </w:r>
          </w:p>
        </w:tc>
      </w:tr>
      <w:tr w:rsidR="00B7604C" w14:paraId="1AC91F7C" w14:textId="77777777" w:rsidTr="00B5728A">
        <w:tc>
          <w:tcPr>
            <w:tcW w:w="879" w:type="dxa"/>
          </w:tcPr>
          <w:p w14:paraId="26E0F6E2" w14:textId="22A9E8E9" w:rsidR="00B7604C" w:rsidRDefault="00B7604C" w:rsidP="00B7604C">
            <w:r>
              <w:t>5.4</w:t>
            </w:r>
          </w:p>
        </w:tc>
        <w:tc>
          <w:tcPr>
            <w:tcW w:w="5156" w:type="dxa"/>
          </w:tcPr>
          <w:p w14:paraId="1F6BF413" w14:textId="3ACC7B52" w:rsidR="00B7604C" w:rsidRDefault="00B7604C" w:rsidP="00B7604C">
            <w:r>
              <w:t>Leverage existing community programs (including those commissioned in the non-government sector) to better utilise pro social, sports and recreational activity for young people.</w:t>
            </w:r>
          </w:p>
        </w:tc>
        <w:tc>
          <w:tcPr>
            <w:tcW w:w="4536" w:type="dxa"/>
          </w:tcPr>
          <w:p w14:paraId="0B7F4AAE" w14:textId="51A3BC00" w:rsidR="00B7604C" w:rsidRDefault="00B7604C" w:rsidP="00B7604C">
            <w:r>
              <w:t>Completed. This work is occurring as part of the case management approach in Youth Justice Services.</w:t>
            </w:r>
          </w:p>
        </w:tc>
        <w:tc>
          <w:tcPr>
            <w:tcW w:w="1112" w:type="dxa"/>
          </w:tcPr>
          <w:p w14:paraId="2D60BD85" w14:textId="11702338" w:rsidR="00B7604C" w:rsidRDefault="00B7604C" w:rsidP="00B7604C">
            <w:r>
              <w:t>DHS</w:t>
            </w:r>
          </w:p>
        </w:tc>
        <w:tc>
          <w:tcPr>
            <w:tcW w:w="1588" w:type="dxa"/>
          </w:tcPr>
          <w:p w14:paraId="735355A7" w14:textId="1603DF4E" w:rsidR="00B7604C" w:rsidRDefault="00B7604C" w:rsidP="00B7604C">
            <w:r>
              <w:t>30 June 2021</w:t>
            </w:r>
          </w:p>
        </w:tc>
      </w:tr>
      <w:tr w:rsidR="00B7604C" w14:paraId="052C185C" w14:textId="77777777" w:rsidTr="00B5728A">
        <w:tc>
          <w:tcPr>
            <w:tcW w:w="879" w:type="dxa"/>
          </w:tcPr>
          <w:p w14:paraId="7ED5C603" w14:textId="02629575" w:rsidR="00B7604C" w:rsidRDefault="00B7604C" w:rsidP="00B7604C">
            <w:r>
              <w:t>5.5</w:t>
            </w:r>
          </w:p>
        </w:tc>
        <w:tc>
          <w:tcPr>
            <w:tcW w:w="5156" w:type="dxa"/>
          </w:tcPr>
          <w:p w14:paraId="6A1A6629" w14:textId="10101F3B" w:rsidR="00B7604C" w:rsidRDefault="00B7604C" w:rsidP="00B7604C">
            <w:r>
              <w:t xml:space="preserve">Develop a communications strategy to improve public knowledge, with the view to fostering more positive </w:t>
            </w:r>
            <w:r>
              <w:lastRenderedPageBreak/>
              <w:t>community re-integration for young people exiting custody.</w:t>
            </w:r>
          </w:p>
        </w:tc>
        <w:tc>
          <w:tcPr>
            <w:tcW w:w="4536" w:type="dxa"/>
          </w:tcPr>
          <w:p w14:paraId="11CE2384" w14:textId="558AE3B6" w:rsidR="00B7604C" w:rsidRDefault="00B7604C" w:rsidP="00B7604C">
            <w:r>
              <w:lastRenderedPageBreak/>
              <w:t>In progress. Work is underway within DHS to finalise a communications strategy.</w:t>
            </w:r>
          </w:p>
        </w:tc>
        <w:tc>
          <w:tcPr>
            <w:tcW w:w="1112" w:type="dxa"/>
          </w:tcPr>
          <w:p w14:paraId="2C3532A8" w14:textId="4C4EAFAF" w:rsidR="00B7604C" w:rsidRDefault="00B7604C" w:rsidP="00B7604C">
            <w:r>
              <w:t>DHS</w:t>
            </w:r>
          </w:p>
        </w:tc>
        <w:tc>
          <w:tcPr>
            <w:tcW w:w="1588" w:type="dxa"/>
          </w:tcPr>
          <w:p w14:paraId="0FE51740" w14:textId="01B69C01" w:rsidR="00B7604C" w:rsidRDefault="00B7604C" w:rsidP="00B7604C">
            <w:r>
              <w:t>31 October 2021</w:t>
            </w:r>
          </w:p>
        </w:tc>
      </w:tr>
      <w:tr w:rsidR="00B7604C" w14:paraId="14818743" w14:textId="77777777" w:rsidTr="00B5728A">
        <w:tc>
          <w:tcPr>
            <w:tcW w:w="879" w:type="dxa"/>
          </w:tcPr>
          <w:p w14:paraId="33772A43" w14:textId="2E5EB91C" w:rsidR="00B7604C" w:rsidRDefault="00B7604C" w:rsidP="00B7604C">
            <w:r>
              <w:t>5.6</w:t>
            </w:r>
          </w:p>
        </w:tc>
        <w:tc>
          <w:tcPr>
            <w:tcW w:w="5156" w:type="dxa"/>
          </w:tcPr>
          <w:p w14:paraId="7D9D2B92" w14:textId="4967C429" w:rsidR="00B7604C" w:rsidRDefault="00B7604C" w:rsidP="00B7604C">
            <w:r>
              <w:t>Bolster service delivery across government and non-government agencies to support the crucial 24–48 hours post-release.</w:t>
            </w:r>
          </w:p>
        </w:tc>
        <w:tc>
          <w:tcPr>
            <w:tcW w:w="4536" w:type="dxa"/>
          </w:tcPr>
          <w:p w14:paraId="119D7B13" w14:textId="2CDD3CA0" w:rsidR="00B7604C" w:rsidRDefault="00B7604C" w:rsidP="00B7604C">
            <w:r>
              <w:t>In progress. Post release planning is being considered as part of the Practice Framework project, utilising insights from the Connected Youth Journey Lab.</w:t>
            </w:r>
          </w:p>
        </w:tc>
        <w:tc>
          <w:tcPr>
            <w:tcW w:w="1112" w:type="dxa"/>
          </w:tcPr>
          <w:p w14:paraId="61874544" w14:textId="3E6B96E6" w:rsidR="00B7604C" w:rsidRDefault="00B7604C" w:rsidP="00B7604C">
            <w:r>
              <w:t>DHS</w:t>
            </w:r>
          </w:p>
        </w:tc>
        <w:tc>
          <w:tcPr>
            <w:tcW w:w="1588" w:type="dxa"/>
          </w:tcPr>
          <w:p w14:paraId="1D7938D7" w14:textId="4088C80D" w:rsidR="00B7604C" w:rsidRDefault="00B7604C" w:rsidP="00B7604C">
            <w:r>
              <w:t>31 October 2021</w:t>
            </w:r>
          </w:p>
        </w:tc>
      </w:tr>
      <w:tr w:rsidR="00B7604C" w14:paraId="1929161B" w14:textId="77777777" w:rsidTr="00B5728A">
        <w:tc>
          <w:tcPr>
            <w:tcW w:w="879" w:type="dxa"/>
          </w:tcPr>
          <w:p w14:paraId="6A1C867C" w14:textId="3EB03FDE" w:rsidR="00B7604C" w:rsidRDefault="00B7604C" w:rsidP="00B7604C">
            <w:r>
              <w:t>5.7</w:t>
            </w:r>
          </w:p>
        </w:tc>
        <w:tc>
          <w:tcPr>
            <w:tcW w:w="5156" w:type="dxa"/>
          </w:tcPr>
          <w:p w14:paraId="63603277" w14:textId="1E9C62E8" w:rsidR="00B7604C" w:rsidRDefault="00B7604C" w:rsidP="00B7604C">
            <w:r>
              <w:t>Implement a Youth Justice Advisory Board comprising young people with lived experience across the youth justice system, to further embed the voices of young people in youth justice service delivery and decision-making.</w:t>
            </w:r>
          </w:p>
        </w:tc>
        <w:tc>
          <w:tcPr>
            <w:tcW w:w="4536" w:type="dxa"/>
          </w:tcPr>
          <w:p w14:paraId="7C7CDCE3" w14:textId="708B2529" w:rsidR="00B7604C" w:rsidRDefault="00B7604C" w:rsidP="00B7604C">
            <w:r>
              <w:t>In progress. Work has commenced. The Kurlana Tapa Youth Justice Advisory Committee and relevant Commissioners will be consulted to inform the approach for the implementation of a Youth Advisory Board.</w:t>
            </w:r>
          </w:p>
        </w:tc>
        <w:tc>
          <w:tcPr>
            <w:tcW w:w="1112" w:type="dxa"/>
          </w:tcPr>
          <w:p w14:paraId="5D32F29D" w14:textId="251D8FA8" w:rsidR="00B7604C" w:rsidRDefault="00B7604C" w:rsidP="00B7604C">
            <w:r>
              <w:t>DHS</w:t>
            </w:r>
          </w:p>
        </w:tc>
        <w:tc>
          <w:tcPr>
            <w:tcW w:w="1588" w:type="dxa"/>
          </w:tcPr>
          <w:p w14:paraId="06925E82" w14:textId="7A1CD9F3" w:rsidR="00B7604C" w:rsidRDefault="00B7604C" w:rsidP="00B7604C">
            <w:r>
              <w:t>31 October 2021</w:t>
            </w:r>
          </w:p>
        </w:tc>
      </w:tr>
    </w:tbl>
    <w:p w14:paraId="1C6A5BB2" w14:textId="016EFF37" w:rsidR="00635705" w:rsidRDefault="00635705" w:rsidP="00B5728A">
      <w:pPr>
        <w:pStyle w:val="Heading3"/>
      </w:pPr>
      <w:r w:rsidRPr="00635705">
        <w:t>Business intelligence – We are committed to improvement in the collection, sharing and analysis of data for decision making and research.</w:t>
      </w:r>
    </w:p>
    <w:tbl>
      <w:tblPr>
        <w:tblW w:w="4950" w:type="pct"/>
        <w:tblLayout w:type="fixed"/>
        <w:tblLook w:val="04A0" w:firstRow="1" w:lastRow="0" w:firstColumn="1" w:lastColumn="0" w:noHBand="0" w:noVBand="1"/>
      </w:tblPr>
      <w:tblGrid>
        <w:gridCol w:w="999"/>
        <w:gridCol w:w="5814"/>
        <w:gridCol w:w="5111"/>
        <w:gridCol w:w="1272"/>
        <w:gridCol w:w="1789"/>
      </w:tblGrid>
      <w:tr w:rsidR="00890707" w:rsidRPr="008928F2" w14:paraId="4392A3BE" w14:textId="77777777" w:rsidTr="00B5728A">
        <w:trPr>
          <w:tblHeader/>
        </w:trPr>
        <w:tc>
          <w:tcPr>
            <w:tcW w:w="886" w:type="dxa"/>
            <w:tcBorders>
              <w:bottom w:val="single" w:sz="4" w:space="0" w:color="auto"/>
            </w:tcBorders>
            <w:shd w:val="clear" w:color="auto" w:fill="F2F2F2" w:themeFill="background1" w:themeFillShade="F2"/>
          </w:tcPr>
          <w:p w14:paraId="555220E8" w14:textId="3488949A" w:rsidR="00890707" w:rsidRPr="008928F2" w:rsidRDefault="00890707" w:rsidP="008928F2">
            <w:pPr>
              <w:pStyle w:val="Table-Header"/>
            </w:pPr>
            <w:r w:rsidRPr="008928F2">
              <w:t>#</w:t>
            </w:r>
          </w:p>
        </w:tc>
        <w:tc>
          <w:tcPr>
            <w:tcW w:w="5160" w:type="dxa"/>
            <w:tcBorders>
              <w:bottom w:val="single" w:sz="4" w:space="0" w:color="auto"/>
            </w:tcBorders>
            <w:shd w:val="clear" w:color="auto" w:fill="F2F2F2" w:themeFill="background1" w:themeFillShade="F2"/>
          </w:tcPr>
          <w:p w14:paraId="4AC54C5B" w14:textId="76B9A87E" w:rsidR="00890707" w:rsidRPr="008928F2" w:rsidRDefault="00890707" w:rsidP="008928F2">
            <w:pPr>
              <w:pStyle w:val="Table-Header"/>
            </w:pPr>
            <w:r w:rsidRPr="008928F2">
              <w:t>Project</w:t>
            </w:r>
          </w:p>
        </w:tc>
        <w:tc>
          <w:tcPr>
            <w:tcW w:w="4536" w:type="dxa"/>
            <w:tcBorders>
              <w:bottom w:val="single" w:sz="4" w:space="0" w:color="auto"/>
            </w:tcBorders>
            <w:shd w:val="clear" w:color="auto" w:fill="F2F2F2" w:themeFill="background1" w:themeFillShade="F2"/>
          </w:tcPr>
          <w:p w14:paraId="0E0F245D" w14:textId="4B81E4BB" w:rsidR="00890707" w:rsidRPr="008928F2" w:rsidRDefault="00890707" w:rsidP="008928F2">
            <w:pPr>
              <w:pStyle w:val="Table-Header"/>
            </w:pPr>
            <w:r w:rsidRPr="008928F2">
              <w:t>Partners</w:t>
            </w:r>
          </w:p>
        </w:tc>
        <w:tc>
          <w:tcPr>
            <w:tcW w:w="1129" w:type="dxa"/>
            <w:tcBorders>
              <w:bottom w:val="single" w:sz="4" w:space="0" w:color="auto"/>
            </w:tcBorders>
            <w:shd w:val="clear" w:color="auto" w:fill="F2F2F2" w:themeFill="background1" w:themeFillShade="F2"/>
          </w:tcPr>
          <w:p w14:paraId="75F2CD70" w14:textId="5130B69F" w:rsidR="00890707" w:rsidRPr="008928F2" w:rsidRDefault="00890707" w:rsidP="008928F2">
            <w:pPr>
              <w:pStyle w:val="Table-Header"/>
            </w:pPr>
            <w:r w:rsidRPr="008928F2">
              <w:t>Lead</w:t>
            </w:r>
          </w:p>
        </w:tc>
        <w:tc>
          <w:tcPr>
            <w:tcW w:w="1588" w:type="dxa"/>
            <w:tcBorders>
              <w:bottom w:val="single" w:sz="4" w:space="0" w:color="auto"/>
            </w:tcBorders>
            <w:shd w:val="clear" w:color="auto" w:fill="F2F2F2" w:themeFill="background1" w:themeFillShade="F2"/>
          </w:tcPr>
          <w:p w14:paraId="7EC030BA" w14:textId="54DABFB0" w:rsidR="00890707" w:rsidRPr="008928F2" w:rsidRDefault="00890707" w:rsidP="008928F2">
            <w:pPr>
              <w:pStyle w:val="Table-Header"/>
            </w:pPr>
            <w:r w:rsidRPr="008928F2">
              <w:t>Timeframe</w:t>
            </w:r>
          </w:p>
        </w:tc>
      </w:tr>
      <w:tr w:rsidR="00B7604C" w:rsidRPr="008928F2" w14:paraId="3001EAB1" w14:textId="5B78997E" w:rsidTr="00B5728A">
        <w:tc>
          <w:tcPr>
            <w:tcW w:w="886" w:type="dxa"/>
            <w:tcBorders>
              <w:bottom w:val="single" w:sz="4" w:space="0" w:color="auto"/>
            </w:tcBorders>
          </w:tcPr>
          <w:p w14:paraId="598E9A41" w14:textId="01900BF7" w:rsidR="00B7604C" w:rsidRPr="008928F2" w:rsidRDefault="00B7604C" w:rsidP="00B7604C">
            <w:pPr>
              <w:pStyle w:val="Table-Text"/>
            </w:pPr>
            <w:r w:rsidRPr="008928F2">
              <w:t>6.1</w:t>
            </w:r>
          </w:p>
        </w:tc>
        <w:tc>
          <w:tcPr>
            <w:tcW w:w="5160" w:type="dxa"/>
            <w:tcBorders>
              <w:bottom w:val="single" w:sz="4" w:space="0" w:color="auto"/>
            </w:tcBorders>
          </w:tcPr>
          <w:p w14:paraId="5B97978F" w14:textId="26028224" w:rsidR="00B7604C" w:rsidRPr="00B7604C" w:rsidRDefault="00B7604C" w:rsidP="00B7604C">
            <w:pPr>
              <w:pStyle w:val="Table-Text"/>
              <w:rPr>
                <w:rStyle w:val="spellingerror"/>
              </w:rPr>
            </w:pPr>
            <w:r w:rsidRPr="00B7604C">
              <w:rPr>
                <w:rStyle w:val="spellingerror"/>
              </w:rPr>
              <w:t>Review and improve client feedback processes to continuously inform practice effectiveness.</w:t>
            </w:r>
          </w:p>
        </w:tc>
        <w:tc>
          <w:tcPr>
            <w:tcW w:w="4536" w:type="dxa"/>
            <w:tcBorders>
              <w:bottom w:val="single" w:sz="4" w:space="0" w:color="auto"/>
            </w:tcBorders>
          </w:tcPr>
          <w:p w14:paraId="49476C07" w14:textId="77777777" w:rsidR="00B7604C" w:rsidRPr="00B7604C" w:rsidRDefault="00B7604C" w:rsidP="00B7604C">
            <w:pPr>
              <w:pStyle w:val="Table-Text"/>
              <w:rPr>
                <w:rStyle w:val="spellingerror"/>
              </w:rPr>
            </w:pPr>
            <w:r w:rsidRPr="00B7604C">
              <w:rPr>
                <w:rStyle w:val="spellingerror"/>
              </w:rPr>
              <w:t>In progress. Improvements to the Community Youth Justice client feedback form are being finalised to ensure that client disability, cultural and complex needs are met. A client survey is being developed at the Kurlana Tapa Youth Justice Centre to help with continuous improvement.</w:t>
            </w:r>
          </w:p>
          <w:p w14:paraId="768D5AD8" w14:textId="54083749" w:rsidR="00B7604C" w:rsidRPr="00B7604C" w:rsidRDefault="00B7604C" w:rsidP="00B7604C">
            <w:pPr>
              <w:pStyle w:val="Table-Text"/>
              <w:rPr>
                <w:rStyle w:val="spellingerror"/>
              </w:rPr>
            </w:pPr>
            <w:r w:rsidRPr="00B7604C">
              <w:rPr>
                <w:rStyle w:val="spellingerror"/>
              </w:rPr>
              <w:t xml:space="preserve">A range of improvement opportunities have been identified, and planning is underway to </w:t>
            </w:r>
            <w:r w:rsidRPr="00B7604C">
              <w:rPr>
                <w:rStyle w:val="spellingerror"/>
              </w:rPr>
              <w:lastRenderedPageBreak/>
              <w:t>prioritise and implement these. Further work is to occur as part of the consolidation project.</w:t>
            </w:r>
          </w:p>
        </w:tc>
        <w:tc>
          <w:tcPr>
            <w:tcW w:w="1129" w:type="dxa"/>
            <w:tcBorders>
              <w:bottom w:val="single" w:sz="4" w:space="0" w:color="auto"/>
            </w:tcBorders>
          </w:tcPr>
          <w:p w14:paraId="27832CFF" w14:textId="5A3DD731" w:rsidR="00B7604C" w:rsidRPr="00B7604C" w:rsidRDefault="00B7604C" w:rsidP="00B7604C">
            <w:pPr>
              <w:pStyle w:val="Table-Text"/>
              <w:rPr>
                <w:rStyle w:val="spellingerror"/>
              </w:rPr>
            </w:pPr>
            <w:r w:rsidRPr="00B7604C">
              <w:rPr>
                <w:rStyle w:val="spellingerror"/>
              </w:rPr>
              <w:lastRenderedPageBreak/>
              <w:t>DHS</w:t>
            </w:r>
          </w:p>
        </w:tc>
        <w:tc>
          <w:tcPr>
            <w:tcW w:w="1588" w:type="dxa"/>
            <w:tcBorders>
              <w:bottom w:val="single" w:sz="4" w:space="0" w:color="auto"/>
            </w:tcBorders>
          </w:tcPr>
          <w:p w14:paraId="02149BEF" w14:textId="11754D51" w:rsidR="00B7604C" w:rsidRPr="00B7604C" w:rsidRDefault="00B7604C" w:rsidP="00B7604C">
            <w:pPr>
              <w:pStyle w:val="Table-Text"/>
              <w:rPr>
                <w:rStyle w:val="spellingerror"/>
              </w:rPr>
            </w:pPr>
            <w:r w:rsidRPr="00B7604C">
              <w:rPr>
                <w:rStyle w:val="spellingerror"/>
              </w:rPr>
              <w:t>31 October 2021</w:t>
            </w:r>
          </w:p>
        </w:tc>
      </w:tr>
      <w:tr w:rsidR="00B7604C" w:rsidRPr="008928F2" w14:paraId="34777242" w14:textId="418CEA8E" w:rsidTr="00B5728A">
        <w:tc>
          <w:tcPr>
            <w:tcW w:w="886" w:type="dxa"/>
            <w:tcBorders>
              <w:top w:val="single" w:sz="4" w:space="0" w:color="auto"/>
            </w:tcBorders>
          </w:tcPr>
          <w:p w14:paraId="4F058A7C" w14:textId="257A35F0" w:rsidR="00B7604C" w:rsidRPr="008928F2" w:rsidRDefault="00B7604C" w:rsidP="00B7604C">
            <w:pPr>
              <w:pStyle w:val="Table-Text"/>
            </w:pPr>
            <w:r w:rsidRPr="008928F2">
              <w:t>6.</w:t>
            </w:r>
            <w:r w:rsidRPr="008928F2">
              <w:fldChar w:fldCharType="begin"/>
            </w:r>
            <w:r w:rsidRPr="008928F2">
              <w:instrText xml:space="preserve"> =MAX(Above)+1 </w:instrText>
            </w:r>
            <w:r w:rsidRPr="008928F2">
              <w:fldChar w:fldCharType="separate"/>
            </w:r>
            <w:r w:rsidRPr="008928F2">
              <w:t>2</w:t>
            </w:r>
            <w:r w:rsidRPr="008928F2">
              <w:fldChar w:fldCharType="end"/>
            </w:r>
          </w:p>
        </w:tc>
        <w:tc>
          <w:tcPr>
            <w:tcW w:w="5160" w:type="dxa"/>
            <w:tcBorders>
              <w:top w:val="single" w:sz="4" w:space="0" w:color="auto"/>
            </w:tcBorders>
          </w:tcPr>
          <w:p w14:paraId="7793E237" w14:textId="3B7BFC9B" w:rsidR="00B7604C" w:rsidRPr="008928F2" w:rsidRDefault="00B7604C" w:rsidP="00B7604C">
            <w:pPr>
              <w:pStyle w:val="Table-Text"/>
            </w:pPr>
            <w:r>
              <w:t>Develop a community-informed three-year research agenda to inform practice and innovation through partnerships with universities and the non-government sector and identify opportunities for research translation.</w:t>
            </w:r>
          </w:p>
        </w:tc>
        <w:tc>
          <w:tcPr>
            <w:tcW w:w="4536" w:type="dxa"/>
            <w:tcBorders>
              <w:top w:val="single" w:sz="4" w:space="0" w:color="auto"/>
            </w:tcBorders>
          </w:tcPr>
          <w:p w14:paraId="52E0D733" w14:textId="1E968A45" w:rsidR="00B7604C" w:rsidRPr="008928F2" w:rsidRDefault="00B7604C" w:rsidP="00B7604C">
            <w:pPr>
              <w:pStyle w:val="Table-Text"/>
            </w:pPr>
            <w:r>
              <w:t>In progress. This outcome is being considered in collaboration with the Early Intervention Research Directorate.</w:t>
            </w:r>
          </w:p>
        </w:tc>
        <w:tc>
          <w:tcPr>
            <w:tcW w:w="1129" w:type="dxa"/>
            <w:tcBorders>
              <w:top w:val="single" w:sz="4" w:space="0" w:color="auto"/>
            </w:tcBorders>
          </w:tcPr>
          <w:p w14:paraId="266ECD31" w14:textId="1043493E" w:rsidR="00B7604C" w:rsidRPr="008928F2" w:rsidRDefault="00B7604C" w:rsidP="00B7604C">
            <w:pPr>
              <w:pStyle w:val="Table-Text"/>
            </w:pPr>
            <w:r>
              <w:t>DHS</w:t>
            </w:r>
          </w:p>
        </w:tc>
        <w:tc>
          <w:tcPr>
            <w:tcW w:w="1588" w:type="dxa"/>
            <w:tcBorders>
              <w:top w:val="single" w:sz="4" w:space="0" w:color="auto"/>
            </w:tcBorders>
          </w:tcPr>
          <w:p w14:paraId="703E8631" w14:textId="005D90A4" w:rsidR="00B7604C" w:rsidRPr="008928F2" w:rsidRDefault="00B7604C" w:rsidP="00B7604C">
            <w:pPr>
              <w:pStyle w:val="Table-Text"/>
            </w:pPr>
            <w:r>
              <w:t>31 December 2023</w:t>
            </w:r>
          </w:p>
        </w:tc>
      </w:tr>
      <w:tr w:rsidR="00B7604C" w:rsidRPr="008928F2" w14:paraId="0E865290" w14:textId="34031CE1" w:rsidTr="00B5728A">
        <w:tc>
          <w:tcPr>
            <w:tcW w:w="886" w:type="dxa"/>
            <w:tcBorders>
              <w:bottom w:val="single" w:sz="4" w:space="0" w:color="auto"/>
            </w:tcBorders>
          </w:tcPr>
          <w:p w14:paraId="11ACA96C" w14:textId="670C1004" w:rsidR="00B7604C" w:rsidRPr="008928F2" w:rsidRDefault="00B7604C" w:rsidP="00B7604C">
            <w:pPr>
              <w:pStyle w:val="Table-Text"/>
            </w:pPr>
            <w:r w:rsidRPr="008928F2">
              <w:t>6.</w:t>
            </w:r>
            <w:r w:rsidRPr="008928F2">
              <w:fldChar w:fldCharType="begin"/>
            </w:r>
            <w:r w:rsidRPr="008928F2">
              <w:instrText xml:space="preserve"> =MAX(Above)+1 </w:instrText>
            </w:r>
            <w:r w:rsidRPr="008928F2">
              <w:fldChar w:fldCharType="separate"/>
            </w:r>
            <w:r w:rsidRPr="008928F2">
              <w:t>3</w:t>
            </w:r>
            <w:r w:rsidRPr="008928F2">
              <w:fldChar w:fldCharType="end"/>
            </w:r>
          </w:p>
        </w:tc>
        <w:tc>
          <w:tcPr>
            <w:tcW w:w="5160" w:type="dxa"/>
            <w:tcBorders>
              <w:bottom w:val="single" w:sz="4" w:space="0" w:color="auto"/>
            </w:tcBorders>
          </w:tcPr>
          <w:p w14:paraId="0E3D43D3" w14:textId="5B4475C0" w:rsidR="00B7604C" w:rsidRPr="008928F2" w:rsidRDefault="00B7604C" w:rsidP="00B7604C">
            <w:pPr>
              <w:pStyle w:val="Table-Text"/>
            </w:pPr>
            <w:r>
              <w:t>Build a more sophisticated understanding of Youth Justice populations and trends through shared data projects.</w:t>
            </w:r>
          </w:p>
        </w:tc>
        <w:tc>
          <w:tcPr>
            <w:tcW w:w="4536" w:type="dxa"/>
            <w:tcBorders>
              <w:bottom w:val="single" w:sz="4" w:space="0" w:color="auto"/>
            </w:tcBorders>
          </w:tcPr>
          <w:p w14:paraId="6C661D4A" w14:textId="77777777" w:rsidR="00B7604C" w:rsidRDefault="00B7604C" w:rsidP="00B7604C">
            <w:pPr>
              <w:pStyle w:val="Table-Text"/>
            </w:pPr>
            <w:r>
              <w:t>In progress. This deliverable is being progressed in collaboration with universities. For example, the University of Adelaide completed research into Adverse childhood experiences (ACEs) and trauma among young people in the Youth Justice system: A South Australian study, to investigate how ACEs and current manifestations of trauma-related symptoms are associated with behavioural problems and offending pathways among young people supervised by Youth Justice Services.</w:t>
            </w:r>
          </w:p>
          <w:p w14:paraId="6CE67042" w14:textId="247E9838" w:rsidR="00B7604C" w:rsidRPr="008928F2" w:rsidRDefault="00B7604C" w:rsidP="00B7604C">
            <w:pPr>
              <w:pStyle w:val="Table-Text"/>
            </w:pPr>
            <w:r>
              <w:t>The final report is being prepared for submission to the funding body to undergo the peer review process.</w:t>
            </w:r>
          </w:p>
        </w:tc>
        <w:tc>
          <w:tcPr>
            <w:tcW w:w="1129" w:type="dxa"/>
            <w:tcBorders>
              <w:bottom w:val="single" w:sz="4" w:space="0" w:color="auto"/>
            </w:tcBorders>
          </w:tcPr>
          <w:p w14:paraId="0473057D" w14:textId="27A26B65" w:rsidR="00B7604C" w:rsidRPr="008928F2" w:rsidRDefault="00B7604C" w:rsidP="00B7604C">
            <w:pPr>
              <w:pStyle w:val="Table-Text"/>
            </w:pPr>
            <w:r>
              <w:t>DHS</w:t>
            </w:r>
          </w:p>
        </w:tc>
        <w:tc>
          <w:tcPr>
            <w:tcW w:w="1588" w:type="dxa"/>
            <w:tcBorders>
              <w:bottom w:val="single" w:sz="4" w:space="0" w:color="auto"/>
            </w:tcBorders>
          </w:tcPr>
          <w:p w14:paraId="387E9097" w14:textId="1CFECD5F" w:rsidR="00B7604C" w:rsidRPr="008928F2" w:rsidRDefault="00B7604C" w:rsidP="00B7604C">
            <w:pPr>
              <w:pStyle w:val="Table-Text"/>
            </w:pPr>
            <w:r>
              <w:t>30 June 2021</w:t>
            </w:r>
          </w:p>
        </w:tc>
      </w:tr>
      <w:tr w:rsidR="00B7604C" w:rsidRPr="008928F2" w14:paraId="5398CE0B" w14:textId="555AD745" w:rsidTr="00B5728A">
        <w:tc>
          <w:tcPr>
            <w:tcW w:w="886" w:type="dxa"/>
            <w:tcBorders>
              <w:top w:val="single" w:sz="4" w:space="0" w:color="auto"/>
              <w:bottom w:val="single" w:sz="4" w:space="0" w:color="auto"/>
            </w:tcBorders>
          </w:tcPr>
          <w:p w14:paraId="56D9846C" w14:textId="332C4E2E" w:rsidR="00B7604C" w:rsidRPr="008928F2" w:rsidRDefault="00B7604C" w:rsidP="00B7604C">
            <w:pPr>
              <w:pStyle w:val="Table-Text"/>
            </w:pPr>
            <w:r w:rsidRPr="008928F2">
              <w:t>6.</w:t>
            </w:r>
            <w:r w:rsidRPr="008928F2">
              <w:fldChar w:fldCharType="begin"/>
            </w:r>
            <w:r w:rsidRPr="008928F2">
              <w:instrText xml:space="preserve"> =MAX(Above)+1 </w:instrText>
            </w:r>
            <w:r w:rsidRPr="008928F2">
              <w:fldChar w:fldCharType="separate"/>
            </w:r>
            <w:r w:rsidRPr="008928F2">
              <w:t>4</w:t>
            </w:r>
            <w:r w:rsidRPr="008928F2">
              <w:fldChar w:fldCharType="end"/>
            </w:r>
          </w:p>
        </w:tc>
        <w:tc>
          <w:tcPr>
            <w:tcW w:w="5160" w:type="dxa"/>
            <w:tcBorders>
              <w:top w:val="single" w:sz="4" w:space="0" w:color="auto"/>
              <w:bottom w:val="single" w:sz="4" w:space="0" w:color="auto"/>
            </w:tcBorders>
          </w:tcPr>
          <w:p w14:paraId="7FEBD760" w14:textId="571FE490" w:rsidR="00B7604C" w:rsidRPr="008928F2" w:rsidRDefault="00B7604C" w:rsidP="00B7604C">
            <w:pPr>
              <w:pStyle w:val="Table-Text"/>
            </w:pPr>
            <w:r>
              <w:t>Ensure business intelligence and data sharing initiatives are on agendas for regular meetings with key service partners to support appropriate information sharing.</w:t>
            </w:r>
          </w:p>
        </w:tc>
        <w:tc>
          <w:tcPr>
            <w:tcW w:w="4536" w:type="dxa"/>
            <w:tcBorders>
              <w:top w:val="single" w:sz="4" w:space="0" w:color="auto"/>
              <w:bottom w:val="single" w:sz="4" w:space="0" w:color="auto"/>
            </w:tcBorders>
          </w:tcPr>
          <w:p w14:paraId="7D9042D3" w14:textId="77777777" w:rsidR="00B7604C" w:rsidRDefault="00B7604C" w:rsidP="00B7604C">
            <w:pPr>
              <w:pStyle w:val="Table-Text"/>
            </w:pPr>
            <w:r>
              <w:t>Completed. Business Intelligence and data sharing opportunities’ is a standing agenda item on for governance groups and is used to inform other state plan projects.</w:t>
            </w:r>
          </w:p>
          <w:p w14:paraId="336A75DA" w14:textId="226082AE" w:rsidR="00B7604C" w:rsidRPr="008928F2" w:rsidRDefault="00B7604C" w:rsidP="00B7604C">
            <w:pPr>
              <w:pStyle w:val="Table-Text"/>
            </w:pPr>
            <w:r>
              <w:lastRenderedPageBreak/>
              <w:t>Further internal reporting systems are currently being developed.</w:t>
            </w:r>
          </w:p>
        </w:tc>
        <w:tc>
          <w:tcPr>
            <w:tcW w:w="1129" w:type="dxa"/>
            <w:tcBorders>
              <w:top w:val="single" w:sz="4" w:space="0" w:color="auto"/>
              <w:bottom w:val="single" w:sz="4" w:space="0" w:color="auto"/>
            </w:tcBorders>
          </w:tcPr>
          <w:p w14:paraId="6B94FAFE" w14:textId="6B820195" w:rsidR="00B7604C" w:rsidRPr="008928F2" w:rsidRDefault="00B7604C" w:rsidP="00B7604C">
            <w:pPr>
              <w:pStyle w:val="Table-Text"/>
            </w:pPr>
            <w:r>
              <w:lastRenderedPageBreak/>
              <w:t>Joint</w:t>
            </w:r>
          </w:p>
        </w:tc>
        <w:tc>
          <w:tcPr>
            <w:tcW w:w="1588" w:type="dxa"/>
            <w:tcBorders>
              <w:top w:val="single" w:sz="4" w:space="0" w:color="auto"/>
              <w:bottom w:val="single" w:sz="4" w:space="0" w:color="auto"/>
            </w:tcBorders>
          </w:tcPr>
          <w:p w14:paraId="20FB93F8" w14:textId="7583B00E" w:rsidR="00B7604C" w:rsidRPr="008928F2" w:rsidRDefault="00B7604C" w:rsidP="00B7604C">
            <w:pPr>
              <w:pStyle w:val="Table-Text"/>
            </w:pPr>
            <w:r>
              <w:t>31 December 2020</w:t>
            </w:r>
          </w:p>
        </w:tc>
      </w:tr>
      <w:tr w:rsidR="00B7604C" w:rsidRPr="008928F2" w14:paraId="0E0C4C9B" w14:textId="27297D96" w:rsidTr="00B5728A">
        <w:tc>
          <w:tcPr>
            <w:tcW w:w="886" w:type="dxa"/>
            <w:tcBorders>
              <w:top w:val="single" w:sz="4" w:space="0" w:color="auto"/>
              <w:bottom w:val="single" w:sz="4" w:space="0" w:color="auto"/>
            </w:tcBorders>
          </w:tcPr>
          <w:p w14:paraId="17B5C81C" w14:textId="73182B74" w:rsidR="00B7604C" w:rsidRPr="008928F2" w:rsidRDefault="00B7604C" w:rsidP="00B7604C">
            <w:pPr>
              <w:pStyle w:val="Table-Text"/>
            </w:pPr>
            <w:r w:rsidRPr="008928F2">
              <w:t>6.</w:t>
            </w:r>
            <w:r w:rsidRPr="008928F2">
              <w:fldChar w:fldCharType="begin"/>
            </w:r>
            <w:r w:rsidRPr="008928F2">
              <w:instrText xml:space="preserve"> =MAX(Above)+1 </w:instrText>
            </w:r>
            <w:r w:rsidRPr="008928F2">
              <w:fldChar w:fldCharType="separate"/>
            </w:r>
            <w:r w:rsidRPr="008928F2">
              <w:t>5</w:t>
            </w:r>
            <w:r w:rsidRPr="008928F2">
              <w:fldChar w:fldCharType="end"/>
            </w:r>
          </w:p>
        </w:tc>
        <w:tc>
          <w:tcPr>
            <w:tcW w:w="5160" w:type="dxa"/>
            <w:tcBorders>
              <w:top w:val="single" w:sz="4" w:space="0" w:color="auto"/>
              <w:bottom w:val="single" w:sz="4" w:space="0" w:color="auto"/>
            </w:tcBorders>
          </w:tcPr>
          <w:p w14:paraId="0E20337F" w14:textId="53F418E2" w:rsidR="00B7604C" w:rsidRPr="008928F2" w:rsidRDefault="00B7604C" w:rsidP="00B7604C">
            <w:pPr>
              <w:pStyle w:val="Table-Text"/>
            </w:pPr>
            <w:r>
              <w:t>Score requirements for a future-focused case management tool that connects logging requirements across Youth Justice services.</w:t>
            </w:r>
          </w:p>
        </w:tc>
        <w:tc>
          <w:tcPr>
            <w:tcW w:w="4536" w:type="dxa"/>
            <w:tcBorders>
              <w:top w:val="single" w:sz="4" w:space="0" w:color="auto"/>
              <w:bottom w:val="single" w:sz="4" w:space="0" w:color="auto"/>
            </w:tcBorders>
          </w:tcPr>
          <w:p w14:paraId="765DDE73" w14:textId="566B7C01" w:rsidR="00B7604C" w:rsidRPr="008928F2" w:rsidRDefault="00B7604C" w:rsidP="00B7604C">
            <w:pPr>
              <w:pStyle w:val="Table-Text"/>
            </w:pPr>
            <w:r>
              <w:t>In progress. This work has been incorporated into the Practice Framework project.</w:t>
            </w:r>
          </w:p>
        </w:tc>
        <w:tc>
          <w:tcPr>
            <w:tcW w:w="1129" w:type="dxa"/>
            <w:tcBorders>
              <w:top w:val="single" w:sz="4" w:space="0" w:color="auto"/>
              <w:bottom w:val="single" w:sz="4" w:space="0" w:color="auto"/>
            </w:tcBorders>
          </w:tcPr>
          <w:p w14:paraId="44030128" w14:textId="74810D66" w:rsidR="00B7604C" w:rsidRPr="008928F2" w:rsidRDefault="00B7604C" w:rsidP="00B7604C">
            <w:pPr>
              <w:pStyle w:val="Table-Text"/>
            </w:pPr>
            <w:r>
              <w:t>DHS</w:t>
            </w:r>
          </w:p>
        </w:tc>
        <w:tc>
          <w:tcPr>
            <w:tcW w:w="1588" w:type="dxa"/>
            <w:tcBorders>
              <w:top w:val="single" w:sz="4" w:space="0" w:color="auto"/>
              <w:bottom w:val="single" w:sz="4" w:space="0" w:color="auto"/>
            </w:tcBorders>
          </w:tcPr>
          <w:p w14:paraId="37528B41" w14:textId="15EBF67F" w:rsidR="00B7604C" w:rsidRPr="008928F2" w:rsidRDefault="00B7604C" w:rsidP="00B7604C">
            <w:pPr>
              <w:pStyle w:val="Table-Text"/>
            </w:pPr>
            <w:r>
              <w:t>December 2022</w:t>
            </w:r>
          </w:p>
        </w:tc>
      </w:tr>
      <w:tr w:rsidR="00B7604C" w:rsidRPr="008928F2" w14:paraId="69323162" w14:textId="77C0E31F" w:rsidTr="00B5728A">
        <w:tc>
          <w:tcPr>
            <w:tcW w:w="886" w:type="dxa"/>
            <w:tcBorders>
              <w:top w:val="single" w:sz="4" w:space="0" w:color="auto"/>
              <w:bottom w:val="single" w:sz="4" w:space="0" w:color="auto"/>
            </w:tcBorders>
          </w:tcPr>
          <w:p w14:paraId="15227BD8" w14:textId="42CCFA44" w:rsidR="00B7604C" w:rsidRPr="008928F2" w:rsidRDefault="00B7604C" w:rsidP="00B7604C">
            <w:pPr>
              <w:pStyle w:val="Table-Text"/>
            </w:pPr>
            <w:r w:rsidRPr="008928F2">
              <w:t>6.</w:t>
            </w:r>
            <w:r w:rsidRPr="008928F2">
              <w:fldChar w:fldCharType="begin"/>
            </w:r>
            <w:r w:rsidRPr="008928F2">
              <w:instrText xml:space="preserve"> =MAX(Above)+1 </w:instrText>
            </w:r>
            <w:r w:rsidRPr="008928F2">
              <w:fldChar w:fldCharType="separate"/>
            </w:r>
            <w:r w:rsidRPr="008928F2">
              <w:t>6</w:t>
            </w:r>
            <w:r w:rsidRPr="008928F2">
              <w:fldChar w:fldCharType="end"/>
            </w:r>
          </w:p>
        </w:tc>
        <w:tc>
          <w:tcPr>
            <w:tcW w:w="5160" w:type="dxa"/>
            <w:tcBorders>
              <w:top w:val="single" w:sz="4" w:space="0" w:color="auto"/>
              <w:bottom w:val="single" w:sz="4" w:space="0" w:color="auto"/>
            </w:tcBorders>
          </w:tcPr>
          <w:p w14:paraId="0C97E6B4" w14:textId="2802040A" w:rsidR="00B7604C" w:rsidRPr="008928F2" w:rsidRDefault="00B7604C" w:rsidP="00B7604C">
            <w:pPr>
              <w:pStyle w:val="Table-Text"/>
            </w:pPr>
            <w:r>
              <w:t>Conduct a micro-pilot as a try-test-learn for roaming tablet use by Youth Justice staff.</w:t>
            </w:r>
          </w:p>
        </w:tc>
        <w:tc>
          <w:tcPr>
            <w:tcW w:w="4536" w:type="dxa"/>
            <w:tcBorders>
              <w:top w:val="single" w:sz="4" w:space="0" w:color="auto"/>
              <w:bottom w:val="single" w:sz="4" w:space="0" w:color="auto"/>
            </w:tcBorders>
          </w:tcPr>
          <w:p w14:paraId="5FEFB96A" w14:textId="7061C9CC" w:rsidR="00B7604C" w:rsidRPr="008928F2" w:rsidRDefault="00B7604C" w:rsidP="00B7604C">
            <w:pPr>
              <w:pStyle w:val="Table-Text"/>
            </w:pPr>
            <w:r>
              <w:t>Completed. Pilot has occurred and feedback is being reviewed,</w:t>
            </w:r>
          </w:p>
        </w:tc>
        <w:tc>
          <w:tcPr>
            <w:tcW w:w="1129" w:type="dxa"/>
            <w:tcBorders>
              <w:top w:val="single" w:sz="4" w:space="0" w:color="auto"/>
              <w:bottom w:val="single" w:sz="4" w:space="0" w:color="auto"/>
            </w:tcBorders>
          </w:tcPr>
          <w:p w14:paraId="64346EB0" w14:textId="728792F7" w:rsidR="00B7604C" w:rsidRPr="008928F2" w:rsidRDefault="00B7604C" w:rsidP="00B7604C">
            <w:pPr>
              <w:pStyle w:val="Table-Text"/>
            </w:pPr>
            <w:r>
              <w:t>DHS</w:t>
            </w:r>
          </w:p>
        </w:tc>
        <w:tc>
          <w:tcPr>
            <w:tcW w:w="1588" w:type="dxa"/>
            <w:tcBorders>
              <w:top w:val="single" w:sz="4" w:space="0" w:color="auto"/>
              <w:bottom w:val="single" w:sz="4" w:space="0" w:color="auto"/>
            </w:tcBorders>
          </w:tcPr>
          <w:p w14:paraId="087884E4" w14:textId="561DF14F" w:rsidR="00B7604C" w:rsidRPr="008928F2" w:rsidRDefault="00B7604C" w:rsidP="00B7604C">
            <w:pPr>
              <w:pStyle w:val="Table-Text"/>
            </w:pPr>
            <w:r>
              <w:t>30 June 2021</w:t>
            </w:r>
          </w:p>
        </w:tc>
      </w:tr>
    </w:tbl>
    <w:p w14:paraId="56EC47A3" w14:textId="4638B19A" w:rsidR="00D61A05" w:rsidRPr="00232743" w:rsidRDefault="00D61A05" w:rsidP="00232743"/>
    <w:sectPr w:rsidR="00D61A05" w:rsidRPr="00232743" w:rsidSect="00B5728A">
      <w:footerReference w:type="first" r:id="rId12"/>
      <w:pgSz w:w="16838" w:h="11906" w:orient="landscape"/>
      <w:pgMar w:top="1021" w:right="851" w:bottom="1021"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8813" w14:textId="77777777" w:rsidR="00F915F8" w:rsidRDefault="00F915F8" w:rsidP="00D82F62">
      <w:r>
        <w:separator/>
      </w:r>
    </w:p>
  </w:endnote>
  <w:endnote w:type="continuationSeparator" w:id="0">
    <w:p w14:paraId="77A167A1" w14:textId="77777777" w:rsidR="00F915F8" w:rsidRDefault="00F915F8" w:rsidP="00D82F62">
      <w:r>
        <w:continuationSeparator/>
      </w:r>
    </w:p>
  </w:endnote>
  <w:endnote w:type="continuationNotice" w:id="1">
    <w:p w14:paraId="68292E11" w14:textId="77777777" w:rsidR="00F915F8" w:rsidRDefault="00F915F8" w:rsidP="00D8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065331"/>
      <w:docPartObj>
        <w:docPartGallery w:val="Page Numbers (Bottom of Page)"/>
        <w:docPartUnique/>
      </w:docPartObj>
    </w:sdtPr>
    <w:sdtEndPr/>
    <w:sdtContent>
      <w:p w14:paraId="2668DFCA" w14:textId="3C970D2E" w:rsidR="00CB0789" w:rsidRPr="00954D0C" w:rsidRDefault="00CB0789" w:rsidP="00DB3BDB">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38</w:t>
        </w:r>
        <w:r>
          <w:rPr>
            <w:b/>
            <w:bCs/>
          </w:rPr>
          <w:fldChar w:fldCharType="end"/>
        </w:r>
      </w:p>
    </w:sdtContent>
  </w:sdt>
  <w:p w14:paraId="093748E7" w14:textId="77777777" w:rsidR="00CB0789" w:rsidRDefault="00CB0789" w:rsidP="00D8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0CB0789" w14:paraId="0EC8427B" w14:textId="77777777" w:rsidTr="1C3C61A8">
      <w:tc>
        <w:tcPr>
          <w:tcW w:w="4653" w:type="dxa"/>
        </w:tcPr>
        <w:p w14:paraId="498D6CE0" w14:textId="7A366766" w:rsidR="00CB0789" w:rsidRDefault="00CB0789" w:rsidP="00D82F62">
          <w:pPr>
            <w:pStyle w:val="Header"/>
          </w:pPr>
        </w:p>
      </w:tc>
      <w:tc>
        <w:tcPr>
          <w:tcW w:w="4653" w:type="dxa"/>
        </w:tcPr>
        <w:p w14:paraId="6D91FC81" w14:textId="22916ECB" w:rsidR="00CB0789" w:rsidRDefault="00CB0789" w:rsidP="00D82F62">
          <w:pPr>
            <w:pStyle w:val="Header"/>
          </w:pPr>
        </w:p>
      </w:tc>
      <w:tc>
        <w:tcPr>
          <w:tcW w:w="4653" w:type="dxa"/>
        </w:tcPr>
        <w:p w14:paraId="573DAED5" w14:textId="57F71421" w:rsidR="00CB0789" w:rsidRDefault="00CB0789" w:rsidP="00D82F62">
          <w:pPr>
            <w:pStyle w:val="Header"/>
          </w:pPr>
        </w:p>
      </w:tc>
    </w:tr>
  </w:tbl>
  <w:p w14:paraId="7199DAD6" w14:textId="209EAD08" w:rsidR="00CB0789" w:rsidRDefault="00CB0789" w:rsidP="00D8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12F3" w14:textId="77777777" w:rsidR="00F915F8" w:rsidRDefault="00F915F8" w:rsidP="00D82F62">
      <w:r>
        <w:separator/>
      </w:r>
    </w:p>
  </w:footnote>
  <w:footnote w:type="continuationSeparator" w:id="0">
    <w:p w14:paraId="6C2565D9" w14:textId="77777777" w:rsidR="00F915F8" w:rsidRDefault="00F915F8" w:rsidP="00D82F62">
      <w:r>
        <w:continuationSeparator/>
      </w:r>
    </w:p>
  </w:footnote>
  <w:footnote w:type="continuationNotice" w:id="1">
    <w:p w14:paraId="1B2ED56F" w14:textId="77777777" w:rsidR="00F915F8" w:rsidRDefault="00F915F8" w:rsidP="00D82F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0AE"/>
    <w:multiLevelType w:val="multilevel"/>
    <w:tmpl w:val="38C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7AF8"/>
    <w:multiLevelType w:val="hybridMultilevel"/>
    <w:tmpl w:val="7C2C4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F57E4F"/>
    <w:multiLevelType w:val="hybridMultilevel"/>
    <w:tmpl w:val="B44A1CAC"/>
    <w:lvl w:ilvl="0" w:tplc="6D9A180C">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C7E27"/>
    <w:multiLevelType w:val="hybridMultilevel"/>
    <w:tmpl w:val="BFD25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61DFE"/>
    <w:multiLevelType w:val="hybridMultilevel"/>
    <w:tmpl w:val="0CB83706"/>
    <w:lvl w:ilvl="0" w:tplc="55A054E8">
      <w:start w:val="1"/>
      <w:numFmt w:val="lowerLetter"/>
      <w:pStyle w:val="Bullet-letter-indent"/>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2797D47"/>
    <w:multiLevelType w:val="hybridMultilevel"/>
    <w:tmpl w:val="CF1AA2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8D2064F"/>
    <w:multiLevelType w:val="hybridMultilevel"/>
    <w:tmpl w:val="1716145A"/>
    <w:lvl w:ilvl="0" w:tplc="04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3A131F75"/>
    <w:multiLevelType w:val="hybridMultilevel"/>
    <w:tmpl w:val="EF24F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227B4A"/>
    <w:multiLevelType w:val="hybridMultilevel"/>
    <w:tmpl w:val="FC701640"/>
    <w:lvl w:ilvl="0" w:tplc="D338B9C4">
      <w:start w:val="1"/>
      <w:numFmt w:val="decimal"/>
      <w:pStyle w:val="Bullet-Numbered-Itali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355813"/>
    <w:multiLevelType w:val="hybridMultilevel"/>
    <w:tmpl w:val="4E685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406277"/>
    <w:multiLevelType w:val="hybridMultilevel"/>
    <w:tmpl w:val="8FB0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0226B5"/>
    <w:multiLevelType w:val="hybridMultilevel"/>
    <w:tmpl w:val="CCA4393E"/>
    <w:lvl w:ilvl="0" w:tplc="754A28E0">
      <w:start w:val="1"/>
      <w:numFmt w:val="bullet"/>
      <w:pStyle w:val="Bullet-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B8136E"/>
    <w:multiLevelType w:val="hybridMultilevel"/>
    <w:tmpl w:val="FD58C608"/>
    <w:lvl w:ilvl="0" w:tplc="198462F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3C1403"/>
    <w:multiLevelType w:val="hybridMultilevel"/>
    <w:tmpl w:val="A4D87FCE"/>
    <w:lvl w:ilvl="0" w:tplc="A2B8DC40">
      <w:start w:val="2020"/>
      <w:numFmt w:val="bullet"/>
      <w:pStyle w:val="Bullet-dash"/>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7E0BD7"/>
    <w:multiLevelType w:val="hybridMultilevel"/>
    <w:tmpl w:val="BEC4EAB8"/>
    <w:lvl w:ilvl="0" w:tplc="FFFFFFFF">
      <w:start w:val="2020"/>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886251"/>
    <w:multiLevelType w:val="hybridMultilevel"/>
    <w:tmpl w:val="5308DDE2"/>
    <w:lvl w:ilvl="0" w:tplc="D56ADE46">
      <w:start w:val="1"/>
      <w:numFmt w:val="decimal"/>
      <w:pStyle w:val="Bulle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8D0E8C"/>
    <w:multiLevelType w:val="hybridMultilevel"/>
    <w:tmpl w:val="93D48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6E1F98"/>
    <w:multiLevelType w:val="hybridMultilevel"/>
    <w:tmpl w:val="29FCF716"/>
    <w:lvl w:ilvl="0" w:tplc="A2F2A348">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B44CF1"/>
    <w:multiLevelType w:val="multilevel"/>
    <w:tmpl w:val="E29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1135D"/>
    <w:multiLevelType w:val="hybridMultilevel"/>
    <w:tmpl w:val="33A6B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E1640E"/>
    <w:multiLevelType w:val="hybridMultilevel"/>
    <w:tmpl w:val="8EFE3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93C59A"/>
    <w:multiLevelType w:val="hybridMultilevel"/>
    <w:tmpl w:val="F87928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3A4278E"/>
    <w:multiLevelType w:val="multilevel"/>
    <w:tmpl w:val="48C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92CA1"/>
    <w:multiLevelType w:val="hybridMultilevel"/>
    <w:tmpl w:val="9306E75A"/>
    <w:lvl w:ilvl="0" w:tplc="0C090001">
      <w:start w:val="1"/>
      <w:numFmt w:val="bullet"/>
      <w:lvlText w:val=""/>
      <w:lvlJc w:val="left"/>
      <w:pPr>
        <w:ind w:left="720" w:hanging="360"/>
      </w:pPr>
      <w:rPr>
        <w:rFonts w:ascii="Symbol" w:hAnsi="Symbol" w:hint="default"/>
      </w:rPr>
    </w:lvl>
    <w:lvl w:ilvl="1" w:tplc="FFFFFFFF">
      <w:start w:val="2020"/>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D53111"/>
    <w:multiLevelType w:val="hybridMultilevel"/>
    <w:tmpl w:val="3D52D406"/>
    <w:lvl w:ilvl="0" w:tplc="FFFFFFFF">
      <w:start w:val="2020"/>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3"/>
  </w:num>
  <w:num w:numId="4">
    <w:abstractNumId w:val="1"/>
  </w:num>
  <w:num w:numId="5">
    <w:abstractNumId w:val="15"/>
  </w:num>
  <w:num w:numId="6">
    <w:abstractNumId w:val="4"/>
  </w:num>
  <w:num w:numId="7">
    <w:abstractNumId w:val="3"/>
  </w:num>
  <w:num w:numId="8">
    <w:abstractNumId w:val="16"/>
  </w:num>
  <w:num w:numId="9">
    <w:abstractNumId w:val="20"/>
  </w:num>
  <w:num w:numId="10">
    <w:abstractNumId w:val="9"/>
  </w:num>
  <w:num w:numId="11">
    <w:abstractNumId w:val="19"/>
  </w:num>
  <w:num w:numId="12">
    <w:abstractNumId w:val="14"/>
  </w:num>
  <w:num w:numId="13">
    <w:abstractNumId w:val="24"/>
  </w:num>
  <w:num w:numId="14">
    <w:abstractNumId w:val="12"/>
  </w:num>
  <w:num w:numId="15">
    <w:abstractNumId w:val="10"/>
  </w:num>
  <w:num w:numId="16">
    <w:abstractNumId w:val="7"/>
  </w:num>
  <w:num w:numId="17">
    <w:abstractNumId w:val="17"/>
  </w:num>
  <w:num w:numId="18">
    <w:abstractNumId w:val="5"/>
  </w:num>
  <w:num w:numId="19">
    <w:abstractNumId w:val="2"/>
  </w:num>
  <w:num w:numId="20">
    <w:abstractNumId w:val="8"/>
    <w:lvlOverride w:ilvl="0">
      <w:startOverride w:val="1"/>
    </w:lvlOverride>
  </w:num>
  <w:num w:numId="21">
    <w:abstractNumId w:val="8"/>
    <w:lvlOverride w:ilvl="0">
      <w:startOverride w:val="1"/>
    </w:lvlOverride>
  </w:num>
  <w:num w:numId="22">
    <w:abstractNumId w:val="15"/>
  </w:num>
  <w:num w:numId="23">
    <w:abstractNumId w:val="15"/>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6"/>
  </w:num>
  <w:num w:numId="30">
    <w:abstractNumId w:val="21"/>
  </w:num>
  <w:num w:numId="31">
    <w:abstractNumId w:val="18"/>
  </w:num>
  <w:num w:numId="32">
    <w:abstractNumId w:val="11"/>
  </w:num>
  <w:num w:numId="33">
    <w:abstractNumId w:val="22"/>
  </w:num>
  <w:num w:numId="3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D4"/>
    <w:rsid w:val="000007FE"/>
    <w:rsid w:val="00001CDD"/>
    <w:rsid w:val="00002554"/>
    <w:rsid w:val="00002742"/>
    <w:rsid w:val="00004992"/>
    <w:rsid w:val="00005AA3"/>
    <w:rsid w:val="00011D90"/>
    <w:rsid w:val="00012210"/>
    <w:rsid w:val="0001624F"/>
    <w:rsid w:val="00016A88"/>
    <w:rsid w:val="00017FCD"/>
    <w:rsid w:val="0002315B"/>
    <w:rsid w:val="0002430A"/>
    <w:rsid w:val="00025054"/>
    <w:rsid w:val="00027BC3"/>
    <w:rsid w:val="00027F06"/>
    <w:rsid w:val="00030AE4"/>
    <w:rsid w:val="00033488"/>
    <w:rsid w:val="000346B2"/>
    <w:rsid w:val="0003640B"/>
    <w:rsid w:val="00036C67"/>
    <w:rsid w:val="00041873"/>
    <w:rsid w:val="00041F90"/>
    <w:rsid w:val="0005054F"/>
    <w:rsid w:val="000521D3"/>
    <w:rsid w:val="00053898"/>
    <w:rsid w:val="000543B3"/>
    <w:rsid w:val="00055A4F"/>
    <w:rsid w:val="000637FF"/>
    <w:rsid w:val="0006462A"/>
    <w:rsid w:val="0006501D"/>
    <w:rsid w:val="00066C76"/>
    <w:rsid w:val="00067421"/>
    <w:rsid w:val="00067AC1"/>
    <w:rsid w:val="00067F6E"/>
    <w:rsid w:val="00073A13"/>
    <w:rsid w:val="000752D7"/>
    <w:rsid w:val="00077E52"/>
    <w:rsid w:val="00080BA5"/>
    <w:rsid w:val="000812AB"/>
    <w:rsid w:val="00083667"/>
    <w:rsid w:val="000859AB"/>
    <w:rsid w:val="00085AF5"/>
    <w:rsid w:val="00086C30"/>
    <w:rsid w:val="00086CC8"/>
    <w:rsid w:val="000901A5"/>
    <w:rsid w:val="0009304D"/>
    <w:rsid w:val="000938AC"/>
    <w:rsid w:val="00093BBD"/>
    <w:rsid w:val="00093F6D"/>
    <w:rsid w:val="00095C55"/>
    <w:rsid w:val="00097587"/>
    <w:rsid w:val="000A0768"/>
    <w:rsid w:val="000A1581"/>
    <w:rsid w:val="000A2333"/>
    <w:rsid w:val="000A2E80"/>
    <w:rsid w:val="000A2EE3"/>
    <w:rsid w:val="000A4858"/>
    <w:rsid w:val="000A4EFC"/>
    <w:rsid w:val="000A6B24"/>
    <w:rsid w:val="000B0836"/>
    <w:rsid w:val="000B1D0D"/>
    <w:rsid w:val="000B412A"/>
    <w:rsid w:val="000B46CD"/>
    <w:rsid w:val="000C1977"/>
    <w:rsid w:val="000C1AA2"/>
    <w:rsid w:val="000C27B8"/>
    <w:rsid w:val="000C5616"/>
    <w:rsid w:val="000C6B2F"/>
    <w:rsid w:val="000C6BB7"/>
    <w:rsid w:val="000D0E30"/>
    <w:rsid w:val="000D30DB"/>
    <w:rsid w:val="000D3664"/>
    <w:rsid w:val="000D51AD"/>
    <w:rsid w:val="000D53E4"/>
    <w:rsid w:val="000E2716"/>
    <w:rsid w:val="000E2E7B"/>
    <w:rsid w:val="000E3710"/>
    <w:rsid w:val="000E5031"/>
    <w:rsid w:val="000E58DD"/>
    <w:rsid w:val="000E6DF2"/>
    <w:rsid w:val="000E6F2F"/>
    <w:rsid w:val="000E790D"/>
    <w:rsid w:val="000F41F3"/>
    <w:rsid w:val="000F43E2"/>
    <w:rsid w:val="000F5193"/>
    <w:rsid w:val="000F5A7F"/>
    <w:rsid w:val="00101021"/>
    <w:rsid w:val="001039F3"/>
    <w:rsid w:val="00104E62"/>
    <w:rsid w:val="00105288"/>
    <w:rsid w:val="00105995"/>
    <w:rsid w:val="0010717C"/>
    <w:rsid w:val="00115151"/>
    <w:rsid w:val="0011542D"/>
    <w:rsid w:val="0011702C"/>
    <w:rsid w:val="00124C9E"/>
    <w:rsid w:val="00125D39"/>
    <w:rsid w:val="00127F89"/>
    <w:rsid w:val="00130DEE"/>
    <w:rsid w:val="00130EF5"/>
    <w:rsid w:val="001329E8"/>
    <w:rsid w:val="00135CF9"/>
    <w:rsid w:val="00136897"/>
    <w:rsid w:val="0013716A"/>
    <w:rsid w:val="001408AD"/>
    <w:rsid w:val="00141278"/>
    <w:rsid w:val="00142388"/>
    <w:rsid w:val="0014429E"/>
    <w:rsid w:val="001450F7"/>
    <w:rsid w:val="001462F8"/>
    <w:rsid w:val="00150CDD"/>
    <w:rsid w:val="001514C0"/>
    <w:rsid w:val="00151FD9"/>
    <w:rsid w:val="00152BC3"/>
    <w:rsid w:val="0015389B"/>
    <w:rsid w:val="00155B9D"/>
    <w:rsid w:val="001615F8"/>
    <w:rsid w:val="00162CC7"/>
    <w:rsid w:val="0016375C"/>
    <w:rsid w:val="00170B8B"/>
    <w:rsid w:val="00172C14"/>
    <w:rsid w:val="00175F10"/>
    <w:rsid w:val="001779CB"/>
    <w:rsid w:val="00177A29"/>
    <w:rsid w:val="00177DF9"/>
    <w:rsid w:val="00181EC0"/>
    <w:rsid w:val="0018434E"/>
    <w:rsid w:val="00185338"/>
    <w:rsid w:val="00187552"/>
    <w:rsid w:val="001876A1"/>
    <w:rsid w:val="00193765"/>
    <w:rsid w:val="00193943"/>
    <w:rsid w:val="0019543E"/>
    <w:rsid w:val="00195D3E"/>
    <w:rsid w:val="001965C6"/>
    <w:rsid w:val="0019667C"/>
    <w:rsid w:val="00196683"/>
    <w:rsid w:val="00197D3E"/>
    <w:rsid w:val="00197EE0"/>
    <w:rsid w:val="001A2487"/>
    <w:rsid w:val="001A2CE1"/>
    <w:rsid w:val="001B14E5"/>
    <w:rsid w:val="001B43BD"/>
    <w:rsid w:val="001B68CD"/>
    <w:rsid w:val="001B705B"/>
    <w:rsid w:val="001C0413"/>
    <w:rsid w:val="001C63EE"/>
    <w:rsid w:val="001C6DB2"/>
    <w:rsid w:val="001C7BCE"/>
    <w:rsid w:val="001D1029"/>
    <w:rsid w:val="001D2DD7"/>
    <w:rsid w:val="001D4118"/>
    <w:rsid w:val="001D5BCD"/>
    <w:rsid w:val="001E10D9"/>
    <w:rsid w:val="001E1DAD"/>
    <w:rsid w:val="001E255D"/>
    <w:rsid w:val="001E25F1"/>
    <w:rsid w:val="001E28C0"/>
    <w:rsid w:val="001F5BAD"/>
    <w:rsid w:val="002009B8"/>
    <w:rsid w:val="00200A68"/>
    <w:rsid w:val="00202391"/>
    <w:rsid w:val="00203983"/>
    <w:rsid w:val="00205C95"/>
    <w:rsid w:val="00205E62"/>
    <w:rsid w:val="00206DC9"/>
    <w:rsid w:val="00207E1C"/>
    <w:rsid w:val="00211DEF"/>
    <w:rsid w:val="002128B8"/>
    <w:rsid w:val="00212EA9"/>
    <w:rsid w:val="0021369C"/>
    <w:rsid w:val="0021614F"/>
    <w:rsid w:val="002163A6"/>
    <w:rsid w:val="002202BE"/>
    <w:rsid w:val="00222147"/>
    <w:rsid w:val="00230146"/>
    <w:rsid w:val="00232743"/>
    <w:rsid w:val="002350BE"/>
    <w:rsid w:val="00235DE4"/>
    <w:rsid w:val="0023675B"/>
    <w:rsid w:val="00236FA0"/>
    <w:rsid w:val="0024044E"/>
    <w:rsid w:val="00240ECB"/>
    <w:rsid w:val="00241F82"/>
    <w:rsid w:val="00244025"/>
    <w:rsid w:val="00245166"/>
    <w:rsid w:val="00246258"/>
    <w:rsid w:val="00250101"/>
    <w:rsid w:val="002510B7"/>
    <w:rsid w:val="00251775"/>
    <w:rsid w:val="00252B20"/>
    <w:rsid w:val="00257107"/>
    <w:rsid w:val="0025772B"/>
    <w:rsid w:val="00260C4F"/>
    <w:rsid w:val="00260CFC"/>
    <w:rsid w:val="00261274"/>
    <w:rsid w:val="00261A65"/>
    <w:rsid w:val="002628DE"/>
    <w:rsid w:val="00263012"/>
    <w:rsid w:val="00264604"/>
    <w:rsid w:val="002649A8"/>
    <w:rsid w:val="002656D4"/>
    <w:rsid w:val="00265A4A"/>
    <w:rsid w:val="002670B9"/>
    <w:rsid w:val="002678EA"/>
    <w:rsid w:val="00270C3E"/>
    <w:rsid w:val="00272E8B"/>
    <w:rsid w:val="002736D0"/>
    <w:rsid w:val="00277592"/>
    <w:rsid w:val="002809D4"/>
    <w:rsid w:val="00281BDA"/>
    <w:rsid w:val="00284B55"/>
    <w:rsid w:val="00286927"/>
    <w:rsid w:val="00286DF4"/>
    <w:rsid w:val="00290D03"/>
    <w:rsid w:val="002946C0"/>
    <w:rsid w:val="00296A9F"/>
    <w:rsid w:val="002A09D2"/>
    <w:rsid w:val="002A1D3C"/>
    <w:rsid w:val="002A2986"/>
    <w:rsid w:val="002A7BF4"/>
    <w:rsid w:val="002B2175"/>
    <w:rsid w:val="002B3CA6"/>
    <w:rsid w:val="002B6A57"/>
    <w:rsid w:val="002C069F"/>
    <w:rsid w:val="002C35BF"/>
    <w:rsid w:val="002C5181"/>
    <w:rsid w:val="002C6801"/>
    <w:rsid w:val="002D0439"/>
    <w:rsid w:val="002D235D"/>
    <w:rsid w:val="002D3A18"/>
    <w:rsid w:val="002D5816"/>
    <w:rsid w:val="002D7725"/>
    <w:rsid w:val="002D794C"/>
    <w:rsid w:val="002E0041"/>
    <w:rsid w:val="002E1EC9"/>
    <w:rsid w:val="002E2B00"/>
    <w:rsid w:val="002E514F"/>
    <w:rsid w:val="002E5A90"/>
    <w:rsid w:val="002E73B0"/>
    <w:rsid w:val="002F046F"/>
    <w:rsid w:val="002F14B9"/>
    <w:rsid w:val="002F2090"/>
    <w:rsid w:val="002F41EA"/>
    <w:rsid w:val="002F585F"/>
    <w:rsid w:val="002F76D4"/>
    <w:rsid w:val="002F7A57"/>
    <w:rsid w:val="00300968"/>
    <w:rsid w:val="0030137E"/>
    <w:rsid w:val="00302011"/>
    <w:rsid w:val="00302232"/>
    <w:rsid w:val="00305354"/>
    <w:rsid w:val="00306357"/>
    <w:rsid w:val="0030688D"/>
    <w:rsid w:val="003077CF"/>
    <w:rsid w:val="003116CC"/>
    <w:rsid w:val="0031397F"/>
    <w:rsid w:val="00315074"/>
    <w:rsid w:val="00315141"/>
    <w:rsid w:val="00315847"/>
    <w:rsid w:val="00315A87"/>
    <w:rsid w:val="00315FD0"/>
    <w:rsid w:val="00316263"/>
    <w:rsid w:val="00320289"/>
    <w:rsid w:val="00322A12"/>
    <w:rsid w:val="0033048C"/>
    <w:rsid w:val="0033064B"/>
    <w:rsid w:val="00331E6D"/>
    <w:rsid w:val="00332131"/>
    <w:rsid w:val="003324A0"/>
    <w:rsid w:val="00332A87"/>
    <w:rsid w:val="00332D98"/>
    <w:rsid w:val="00333587"/>
    <w:rsid w:val="00333861"/>
    <w:rsid w:val="003345D8"/>
    <w:rsid w:val="00334D6C"/>
    <w:rsid w:val="003408C6"/>
    <w:rsid w:val="00343EFF"/>
    <w:rsid w:val="00347F93"/>
    <w:rsid w:val="003521C7"/>
    <w:rsid w:val="003528F5"/>
    <w:rsid w:val="00354E43"/>
    <w:rsid w:val="0035722A"/>
    <w:rsid w:val="00357513"/>
    <w:rsid w:val="00357C08"/>
    <w:rsid w:val="003601EA"/>
    <w:rsid w:val="0036151A"/>
    <w:rsid w:val="00362071"/>
    <w:rsid w:val="00363274"/>
    <w:rsid w:val="00363751"/>
    <w:rsid w:val="00365105"/>
    <w:rsid w:val="00365AD7"/>
    <w:rsid w:val="00366A5D"/>
    <w:rsid w:val="0037047C"/>
    <w:rsid w:val="00372111"/>
    <w:rsid w:val="00372991"/>
    <w:rsid w:val="00376596"/>
    <w:rsid w:val="00376B7B"/>
    <w:rsid w:val="00384228"/>
    <w:rsid w:val="00391D12"/>
    <w:rsid w:val="00393C91"/>
    <w:rsid w:val="00393E1A"/>
    <w:rsid w:val="00393FB7"/>
    <w:rsid w:val="0039454A"/>
    <w:rsid w:val="003A179D"/>
    <w:rsid w:val="003A2D14"/>
    <w:rsid w:val="003A2F2B"/>
    <w:rsid w:val="003A3EE5"/>
    <w:rsid w:val="003A4B9F"/>
    <w:rsid w:val="003A5E06"/>
    <w:rsid w:val="003B061B"/>
    <w:rsid w:val="003B2038"/>
    <w:rsid w:val="003B4BAB"/>
    <w:rsid w:val="003C25EF"/>
    <w:rsid w:val="003C27FD"/>
    <w:rsid w:val="003C4840"/>
    <w:rsid w:val="003C49BB"/>
    <w:rsid w:val="003C7CA3"/>
    <w:rsid w:val="003D28D9"/>
    <w:rsid w:val="003D7AF6"/>
    <w:rsid w:val="003E003D"/>
    <w:rsid w:val="003E1773"/>
    <w:rsid w:val="003E3461"/>
    <w:rsid w:val="003E53C5"/>
    <w:rsid w:val="003E5AC8"/>
    <w:rsid w:val="003E62EE"/>
    <w:rsid w:val="003E68B0"/>
    <w:rsid w:val="003E6C60"/>
    <w:rsid w:val="003F0575"/>
    <w:rsid w:val="003F0BE5"/>
    <w:rsid w:val="003F0D97"/>
    <w:rsid w:val="003F3BB8"/>
    <w:rsid w:val="003F4733"/>
    <w:rsid w:val="003F55D2"/>
    <w:rsid w:val="003F62CB"/>
    <w:rsid w:val="0040020F"/>
    <w:rsid w:val="00402538"/>
    <w:rsid w:val="00404CC3"/>
    <w:rsid w:val="00405CA7"/>
    <w:rsid w:val="00407550"/>
    <w:rsid w:val="00410A76"/>
    <w:rsid w:val="004134FA"/>
    <w:rsid w:val="00414DBB"/>
    <w:rsid w:val="00417F12"/>
    <w:rsid w:val="0043296D"/>
    <w:rsid w:val="00433021"/>
    <w:rsid w:val="00433B3D"/>
    <w:rsid w:val="00437F72"/>
    <w:rsid w:val="00444068"/>
    <w:rsid w:val="00447A51"/>
    <w:rsid w:val="00450604"/>
    <w:rsid w:val="00452187"/>
    <w:rsid w:val="00452928"/>
    <w:rsid w:val="0045352F"/>
    <w:rsid w:val="00454354"/>
    <w:rsid w:val="00457251"/>
    <w:rsid w:val="0046021F"/>
    <w:rsid w:val="00461A74"/>
    <w:rsid w:val="00461CB9"/>
    <w:rsid w:val="004634DA"/>
    <w:rsid w:val="00465557"/>
    <w:rsid w:val="00466A90"/>
    <w:rsid w:val="00467395"/>
    <w:rsid w:val="00470461"/>
    <w:rsid w:val="00471F0B"/>
    <w:rsid w:val="00473013"/>
    <w:rsid w:val="00475A7C"/>
    <w:rsid w:val="00481336"/>
    <w:rsid w:val="00486FC2"/>
    <w:rsid w:val="004907FC"/>
    <w:rsid w:val="00491974"/>
    <w:rsid w:val="00492AD5"/>
    <w:rsid w:val="0049563A"/>
    <w:rsid w:val="00497E46"/>
    <w:rsid w:val="004A0359"/>
    <w:rsid w:val="004A17CF"/>
    <w:rsid w:val="004A3AE0"/>
    <w:rsid w:val="004A5828"/>
    <w:rsid w:val="004B5B56"/>
    <w:rsid w:val="004C1A87"/>
    <w:rsid w:val="004C1F69"/>
    <w:rsid w:val="004C3678"/>
    <w:rsid w:val="004D0FDE"/>
    <w:rsid w:val="004D25C3"/>
    <w:rsid w:val="004D4E6E"/>
    <w:rsid w:val="004D5D70"/>
    <w:rsid w:val="004E04A7"/>
    <w:rsid w:val="004E4C7F"/>
    <w:rsid w:val="004E52B4"/>
    <w:rsid w:val="004E560F"/>
    <w:rsid w:val="004E784C"/>
    <w:rsid w:val="004F06A3"/>
    <w:rsid w:val="004F63C6"/>
    <w:rsid w:val="00501E7F"/>
    <w:rsid w:val="00502373"/>
    <w:rsid w:val="00504677"/>
    <w:rsid w:val="00504B75"/>
    <w:rsid w:val="00505D59"/>
    <w:rsid w:val="005134E0"/>
    <w:rsid w:val="0051686F"/>
    <w:rsid w:val="00517B9C"/>
    <w:rsid w:val="00521310"/>
    <w:rsid w:val="00521EB7"/>
    <w:rsid w:val="00523FF5"/>
    <w:rsid w:val="005245A1"/>
    <w:rsid w:val="00525011"/>
    <w:rsid w:val="005261EA"/>
    <w:rsid w:val="00526693"/>
    <w:rsid w:val="005272FA"/>
    <w:rsid w:val="00527FFA"/>
    <w:rsid w:val="00533895"/>
    <w:rsid w:val="0053412E"/>
    <w:rsid w:val="00535996"/>
    <w:rsid w:val="005400CB"/>
    <w:rsid w:val="005405C0"/>
    <w:rsid w:val="0054328E"/>
    <w:rsid w:val="005451CE"/>
    <w:rsid w:val="005474F9"/>
    <w:rsid w:val="00550587"/>
    <w:rsid w:val="00550E8B"/>
    <w:rsid w:val="00551E5F"/>
    <w:rsid w:val="00552D9D"/>
    <w:rsid w:val="0055323E"/>
    <w:rsid w:val="00553732"/>
    <w:rsid w:val="0055609C"/>
    <w:rsid w:val="005560DA"/>
    <w:rsid w:val="005567A8"/>
    <w:rsid w:val="00556906"/>
    <w:rsid w:val="00556ED0"/>
    <w:rsid w:val="005577F9"/>
    <w:rsid w:val="005607E7"/>
    <w:rsid w:val="005618F6"/>
    <w:rsid w:val="005648FE"/>
    <w:rsid w:val="005669A3"/>
    <w:rsid w:val="00567801"/>
    <w:rsid w:val="00567952"/>
    <w:rsid w:val="0057117B"/>
    <w:rsid w:val="00571908"/>
    <w:rsid w:val="00574661"/>
    <w:rsid w:val="005746C5"/>
    <w:rsid w:val="00580447"/>
    <w:rsid w:val="00582A04"/>
    <w:rsid w:val="00582FA8"/>
    <w:rsid w:val="00583622"/>
    <w:rsid w:val="0058363F"/>
    <w:rsid w:val="00585B98"/>
    <w:rsid w:val="00586945"/>
    <w:rsid w:val="00586AD0"/>
    <w:rsid w:val="00591AC3"/>
    <w:rsid w:val="00591E26"/>
    <w:rsid w:val="00591FF2"/>
    <w:rsid w:val="00592CB6"/>
    <w:rsid w:val="00594176"/>
    <w:rsid w:val="0059464F"/>
    <w:rsid w:val="005974DD"/>
    <w:rsid w:val="005A18EA"/>
    <w:rsid w:val="005A31BA"/>
    <w:rsid w:val="005A470A"/>
    <w:rsid w:val="005A67BD"/>
    <w:rsid w:val="005B12C3"/>
    <w:rsid w:val="005B265C"/>
    <w:rsid w:val="005B2F11"/>
    <w:rsid w:val="005B3221"/>
    <w:rsid w:val="005B3EEC"/>
    <w:rsid w:val="005B5035"/>
    <w:rsid w:val="005C1AB9"/>
    <w:rsid w:val="005C2210"/>
    <w:rsid w:val="005C4C72"/>
    <w:rsid w:val="005C7177"/>
    <w:rsid w:val="005D088D"/>
    <w:rsid w:val="005D11EF"/>
    <w:rsid w:val="005D2FC1"/>
    <w:rsid w:val="005D50DE"/>
    <w:rsid w:val="005E23AA"/>
    <w:rsid w:val="005E29AF"/>
    <w:rsid w:val="005E30F5"/>
    <w:rsid w:val="005E35C8"/>
    <w:rsid w:val="005E402B"/>
    <w:rsid w:val="005E6928"/>
    <w:rsid w:val="005E71D0"/>
    <w:rsid w:val="005F01DA"/>
    <w:rsid w:val="005F0744"/>
    <w:rsid w:val="005F17D1"/>
    <w:rsid w:val="005F2521"/>
    <w:rsid w:val="005F2E69"/>
    <w:rsid w:val="005F461C"/>
    <w:rsid w:val="005F683A"/>
    <w:rsid w:val="006008D4"/>
    <w:rsid w:val="00600965"/>
    <w:rsid w:val="00603690"/>
    <w:rsid w:val="00603FAC"/>
    <w:rsid w:val="006046D7"/>
    <w:rsid w:val="00615E2F"/>
    <w:rsid w:val="0061689D"/>
    <w:rsid w:val="00620AD4"/>
    <w:rsid w:val="006221D2"/>
    <w:rsid w:val="0062234A"/>
    <w:rsid w:val="00622B16"/>
    <w:rsid w:val="006230FB"/>
    <w:rsid w:val="00623FB7"/>
    <w:rsid w:val="0062430B"/>
    <w:rsid w:val="00625517"/>
    <w:rsid w:val="00627D81"/>
    <w:rsid w:val="006330D0"/>
    <w:rsid w:val="0063357A"/>
    <w:rsid w:val="00634899"/>
    <w:rsid w:val="00634DAA"/>
    <w:rsid w:val="00635490"/>
    <w:rsid w:val="00635705"/>
    <w:rsid w:val="006363E5"/>
    <w:rsid w:val="00640064"/>
    <w:rsid w:val="00640C54"/>
    <w:rsid w:val="00640DE5"/>
    <w:rsid w:val="006416B9"/>
    <w:rsid w:val="00645A89"/>
    <w:rsid w:val="00655F55"/>
    <w:rsid w:val="006578CC"/>
    <w:rsid w:val="006604AE"/>
    <w:rsid w:val="006627FD"/>
    <w:rsid w:val="00665F41"/>
    <w:rsid w:val="00670879"/>
    <w:rsid w:val="00670EA4"/>
    <w:rsid w:val="00672857"/>
    <w:rsid w:val="0067342C"/>
    <w:rsid w:val="006749E3"/>
    <w:rsid w:val="00681149"/>
    <w:rsid w:val="00682C60"/>
    <w:rsid w:val="00683332"/>
    <w:rsid w:val="006838DA"/>
    <w:rsid w:val="006859E1"/>
    <w:rsid w:val="006863D9"/>
    <w:rsid w:val="0068640C"/>
    <w:rsid w:val="00686DCD"/>
    <w:rsid w:val="00687731"/>
    <w:rsid w:val="00690B44"/>
    <w:rsid w:val="00691793"/>
    <w:rsid w:val="006927AC"/>
    <w:rsid w:val="00695A87"/>
    <w:rsid w:val="006962C2"/>
    <w:rsid w:val="006A0E96"/>
    <w:rsid w:val="006A29C2"/>
    <w:rsid w:val="006A5EFB"/>
    <w:rsid w:val="006A7A75"/>
    <w:rsid w:val="006B239F"/>
    <w:rsid w:val="006B438F"/>
    <w:rsid w:val="006B4851"/>
    <w:rsid w:val="006B7063"/>
    <w:rsid w:val="006B7C5F"/>
    <w:rsid w:val="006C0CEF"/>
    <w:rsid w:val="006C17E9"/>
    <w:rsid w:val="006C1E9B"/>
    <w:rsid w:val="006C21D5"/>
    <w:rsid w:val="006C3D27"/>
    <w:rsid w:val="006C63CD"/>
    <w:rsid w:val="006C76EC"/>
    <w:rsid w:val="006C7AF8"/>
    <w:rsid w:val="006D0699"/>
    <w:rsid w:val="006D2336"/>
    <w:rsid w:val="006D5447"/>
    <w:rsid w:val="006E0AC8"/>
    <w:rsid w:val="006E4FAE"/>
    <w:rsid w:val="006E52CF"/>
    <w:rsid w:val="006E6713"/>
    <w:rsid w:val="006E7859"/>
    <w:rsid w:val="006F1C6B"/>
    <w:rsid w:val="006F249A"/>
    <w:rsid w:val="006F376D"/>
    <w:rsid w:val="006F5B9E"/>
    <w:rsid w:val="006F6C97"/>
    <w:rsid w:val="00700416"/>
    <w:rsid w:val="0070069F"/>
    <w:rsid w:val="007030D2"/>
    <w:rsid w:val="007058B7"/>
    <w:rsid w:val="00705937"/>
    <w:rsid w:val="00705D83"/>
    <w:rsid w:val="00706061"/>
    <w:rsid w:val="00712D8F"/>
    <w:rsid w:val="00717DAB"/>
    <w:rsid w:val="00722F84"/>
    <w:rsid w:val="00725156"/>
    <w:rsid w:val="00725245"/>
    <w:rsid w:val="0072568C"/>
    <w:rsid w:val="007279A5"/>
    <w:rsid w:val="00731E3D"/>
    <w:rsid w:val="00734C85"/>
    <w:rsid w:val="00735F83"/>
    <w:rsid w:val="00740B1E"/>
    <w:rsid w:val="00743C88"/>
    <w:rsid w:val="0074404F"/>
    <w:rsid w:val="00745023"/>
    <w:rsid w:val="007453D0"/>
    <w:rsid w:val="007466FB"/>
    <w:rsid w:val="007476E9"/>
    <w:rsid w:val="00752660"/>
    <w:rsid w:val="007551D1"/>
    <w:rsid w:val="00755664"/>
    <w:rsid w:val="00755A9B"/>
    <w:rsid w:val="007603C0"/>
    <w:rsid w:val="007605F6"/>
    <w:rsid w:val="0076096B"/>
    <w:rsid w:val="00761888"/>
    <w:rsid w:val="00761F99"/>
    <w:rsid w:val="00762BED"/>
    <w:rsid w:val="00763132"/>
    <w:rsid w:val="00764017"/>
    <w:rsid w:val="00764158"/>
    <w:rsid w:val="007657C7"/>
    <w:rsid w:val="0077598A"/>
    <w:rsid w:val="0077766B"/>
    <w:rsid w:val="0078439E"/>
    <w:rsid w:val="00784EA0"/>
    <w:rsid w:val="00785600"/>
    <w:rsid w:val="007902B1"/>
    <w:rsid w:val="00791E4C"/>
    <w:rsid w:val="00792608"/>
    <w:rsid w:val="00793D0F"/>
    <w:rsid w:val="007949B7"/>
    <w:rsid w:val="00795D3E"/>
    <w:rsid w:val="007978BA"/>
    <w:rsid w:val="00797F23"/>
    <w:rsid w:val="007A2F0A"/>
    <w:rsid w:val="007A41EC"/>
    <w:rsid w:val="007B1048"/>
    <w:rsid w:val="007B3271"/>
    <w:rsid w:val="007B4D63"/>
    <w:rsid w:val="007B52C4"/>
    <w:rsid w:val="007C24FA"/>
    <w:rsid w:val="007C3AC4"/>
    <w:rsid w:val="007C470C"/>
    <w:rsid w:val="007C6B95"/>
    <w:rsid w:val="007C6D78"/>
    <w:rsid w:val="007D0CB1"/>
    <w:rsid w:val="007E0D5E"/>
    <w:rsid w:val="007E1419"/>
    <w:rsid w:val="007E1B95"/>
    <w:rsid w:val="007E3DBC"/>
    <w:rsid w:val="007E73FC"/>
    <w:rsid w:val="007F0C2C"/>
    <w:rsid w:val="007F1A73"/>
    <w:rsid w:val="007F20FA"/>
    <w:rsid w:val="007F4A74"/>
    <w:rsid w:val="007F537B"/>
    <w:rsid w:val="007F6D90"/>
    <w:rsid w:val="0080363A"/>
    <w:rsid w:val="00805DC6"/>
    <w:rsid w:val="008066C4"/>
    <w:rsid w:val="008143D9"/>
    <w:rsid w:val="00815201"/>
    <w:rsid w:val="008171A0"/>
    <w:rsid w:val="008204BF"/>
    <w:rsid w:val="00822FD4"/>
    <w:rsid w:val="008278A8"/>
    <w:rsid w:val="00830B68"/>
    <w:rsid w:val="00831A79"/>
    <w:rsid w:val="00832AA5"/>
    <w:rsid w:val="00832F09"/>
    <w:rsid w:val="0083311F"/>
    <w:rsid w:val="00833C22"/>
    <w:rsid w:val="0083607D"/>
    <w:rsid w:val="008370F6"/>
    <w:rsid w:val="008373EB"/>
    <w:rsid w:val="00842159"/>
    <w:rsid w:val="008437F4"/>
    <w:rsid w:val="00847281"/>
    <w:rsid w:val="008478DE"/>
    <w:rsid w:val="008526CA"/>
    <w:rsid w:val="00852E8A"/>
    <w:rsid w:val="00854CB2"/>
    <w:rsid w:val="00857730"/>
    <w:rsid w:val="00860C58"/>
    <w:rsid w:val="00861417"/>
    <w:rsid w:val="0086676B"/>
    <w:rsid w:val="00866C90"/>
    <w:rsid w:val="008722CC"/>
    <w:rsid w:val="0087325B"/>
    <w:rsid w:val="008742DE"/>
    <w:rsid w:val="00874980"/>
    <w:rsid w:val="008758D2"/>
    <w:rsid w:val="008765C6"/>
    <w:rsid w:val="00880C05"/>
    <w:rsid w:val="00887359"/>
    <w:rsid w:val="00890707"/>
    <w:rsid w:val="00891259"/>
    <w:rsid w:val="0089177E"/>
    <w:rsid w:val="00891FB3"/>
    <w:rsid w:val="008928F2"/>
    <w:rsid w:val="008939E5"/>
    <w:rsid w:val="0089496B"/>
    <w:rsid w:val="00895DDD"/>
    <w:rsid w:val="00897185"/>
    <w:rsid w:val="008978B5"/>
    <w:rsid w:val="008A08F6"/>
    <w:rsid w:val="008A159A"/>
    <w:rsid w:val="008A42D6"/>
    <w:rsid w:val="008A46F0"/>
    <w:rsid w:val="008B2A79"/>
    <w:rsid w:val="008B33DD"/>
    <w:rsid w:val="008B60A4"/>
    <w:rsid w:val="008C1B6D"/>
    <w:rsid w:val="008C27F3"/>
    <w:rsid w:val="008C2810"/>
    <w:rsid w:val="008C4F13"/>
    <w:rsid w:val="008C4FF1"/>
    <w:rsid w:val="008C5016"/>
    <w:rsid w:val="008C76E0"/>
    <w:rsid w:val="008D2B49"/>
    <w:rsid w:val="008D2DD1"/>
    <w:rsid w:val="008D3FC1"/>
    <w:rsid w:val="008D4965"/>
    <w:rsid w:val="008D50F1"/>
    <w:rsid w:val="008D6379"/>
    <w:rsid w:val="008D7D4E"/>
    <w:rsid w:val="008D7E3E"/>
    <w:rsid w:val="008E1CB9"/>
    <w:rsid w:val="008E2DF8"/>
    <w:rsid w:val="008E3DC2"/>
    <w:rsid w:val="008E4F51"/>
    <w:rsid w:val="008E5910"/>
    <w:rsid w:val="008E6616"/>
    <w:rsid w:val="008E6C47"/>
    <w:rsid w:val="008F096E"/>
    <w:rsid w:val="008F0F9D"/>
    <w:rsid w:val="008F38C5"/>
    <w:rsid w:val="008F46D2"/>
    <w:rsid w:val="008F58B8"/>
    <w:rsid w:val="008F7609"/>
    <w:rsid w:val="00900F18"/>
    <w:rsid w:val="00901C58"/>
    <w:rsid w:val="009023BD"/>
    <w:rsid w:val="009050B0"/>
    <w:rsid w:val="00905F7D"/>
    <w:rsid w:val="00906FB9"/>
    <w:rsid w:val="009112C6"/>
    <w:rsid w:val="009125EB"/>
    <w:rsid w:val="00913B00"/>
    <w:rsid w:val="00914B2E"/>
    <w:rsid w:val="009156F8"/>
    <w:rsid w:val="00915C1B"/>
    <w:rsid w:val="0091687E"/>
    <w:rsid w:val="00916B79"/>
    <w:rsid w:val="00917218"/>
    <w:rsid w:val="00917ABB"/>
    <w:rsid w:val="00921752"/>
    <w:rsid w:val="00925179"/>
    <w:rsid w:val="00926E66"/>
    <w:rsid w:val="00927A61"/>
    <w:rsid w:val="00930F01"/>
    <w:rsid w:val="009366CF"/>
    <w:rsid w:val="00941F4E"/>
    <w:rsid w:val="00942F8E"/>
    <w:rsid w:val="009462B0"/>
    <w:rsid w:val="009467E0"/>
    <w:rsid w:val="00951A70"/>
    <w:rsid w:val="00953660"/>
    <w:rsid w:val="0095399E"/>
    <w:rsid w:val="00953A1C"/>
    <w:rsid w:val="00954D0C"/>
    <w:rsid w:val="00957A37"/>
    <w:rsid w:val="00957FD7"/>
    <w:rsid w:val="0096095C"/>
    <w:rsid w:val="00962216"/>
    <w:rsid w:val="009637C7"/>
    <w:rsid w:val="00963A4C"/>
    <w:rsid w:val="00964B16"/>
    <w:rsid w:val="00966DA2"/>
    <w:rsid w:val="00966DC9"/>
    <w:rsid w:val="00970F9B"/>
    <w:rsid w:val="00971666"/>
    <w:rsid w:val="00971A47"/>
    <w:rsid w:val="00974A5C"/>
    <w:rsid w:val="00980AAD"/>
    <w:rsid w:val="009812CC"/>
    <w:rsid w:val="00982DFC"/>
    <w:rsid w:val="009851F2"/>
    <w:rsid w:val="009907A8"/>
    <w:rsid w:val="009968BC"/>
    <w:rsid w:val="0099738A"/>
    <w:rsid w:val="009A6532"/>
    <w:rsid w:val="009A6598"/>
    <w:rsid w:val="009B1965"/>
    <w:rsid w:val="009B27FB"/>
    <w:rsid w:val="009B6C48"/>
    <w:rsid w:val="009C1584"/>
    <w:rsid w:val="009C4311"/>
    <w:rsid w:val="009C48FD"/>
    <w:rsid w:val="009D1F3B"/>
    <w:rsid w:val="009D3858"/>
    <w:rsid w:val="009D49D4"/>
    <w:rsid w:val="009D56ED"/>
    <w:rsid w:val="009D5DF6"/>
    <w:rsid w:val="009D6E7C"/>
    <w:rsid w:val="009D6E99"/>
    <w:rsid w:val="009E26B7"/>
    <w:rsid w:val="009E3CCD"/>
    <w:rsid w:val="009E452E"/>
    <w:rsid w:val="009F07A4"/>
    <w:rsid w:val="009F65B2"/>
    <w:rsid w:val="009F6E81"/>
    <w:rsid w:val="009F721B"/>
    <w:rsid w:val="00A021D2"/>
    <w:rsid w:val="00A02728"/>
    <w:rsid w:val="00A03078"/>
    <w:rsid w:val="00A0323B"/>
    <w:rsid w:val="00A06186"/>
    <w:rsid w:val="00A06903"/>
    <w:rsid w:val="00A07A25"/>
    <w:rsid w:val="00A15212"/>
    <w:rsid w:val="00A20400"/>
    <w:rsid w:val="00A21598"/>
    <w:rsid w:val="00A21963"/>
    <w:rsid w:val="00A21A04"/>
    <w:rsid w:val="00A24455"/>
    <w:rsid w:val="00A24600"/>
    <w:rsid w:val="00A24F9E"/>
    <w:rsid w:val="00A268E8"/>
    <w:rsid w:val="00A27B59"/>
    <w:rsid w:val="00A3163F"/>
    <w:rsid w:val="00A31CA8"/>
    <w:rsid w:val="00A3316A"/>
    <w:rsid w:val="00A33847"/>
    <w:rsid w:val="00A33EEA"/>
    <w:rsid w:val="00A36C8C"/>
    <w:rsid w:val="00A41329"/>
    <w:rsid w:val="00A417D3"/>
    <w:rsid w:val="00A43AF9"/>
    <w:rsid w:val="00A462F2"/>
    <w:rsid w:val="00A50480"/>
    <w:rsid w:val="00A511BD"/>
    <w:rsid w:val="00A521A5"/>
    <w:rsid w:val="00A54FBA"/>
    <w:rsid w:val="00A55B67"/>
    <w:rsid w:val="00A55E1D"/>
    <w:rsid w:val="00A65578"/>
    <w:rsid w:val="00A74DC6"/>
    <w:rsid w:val="00A7732C"/>
    <w:rsid w:val="00A77976"/>
    <w:rsid w:val="00A77C3D"/>
    <w:rsid w:val="00A77CA6"/>
    <w:rsid w:val="00A80277"/>
    <w:rsid w:val="00A822E8"/>
    <w:rsid w:val="00A83A2B"/>
    <w:rsid w:val="00A83BAD"/>
    <w:rsid w:val="00A979C5"/>
    <w:rsid w:val="00AA17AC"/>
    <w:rsid w:val="00AA2E62"/>
    <w:rsid w:val="00AA474D"/>
    <w:rsid w:val="00AA4E13"/>
    <w:rsid w:val="00AA694E"/>
    <w:rsid w:val="00AB6992"/>
    <w:rsid w:val="00AC11CD"/>
    <w:rsid w:val="00AC6227"/>
    <w:rsid w:val="00AD3724"/>
    <w:rsid w:val="00AD762D"/>
    <w:rsid w:val="00AD77FA"/>
    <w:rsid w:val="00AE481F"/>
    <w:rsid w:val="00AE6B4E"/>
    <w:rsid w:val="00AF0433"/>
    <w:rsid w:val="00AF35B9"/>
    <w:rsid w:val="00B020ED"/>
    <w:rsid w:val="00B054A4"/>
    <w:rsid w:val="00B07835"/>
    <w:rsid w:val="00B107CF"/>
    <w:rsid w:val="00B148D4"/>
    <w:rsid w:val="00B17C41"/>
    <w:rsid w:val="00B2010E"/>
    <w:rsid w:val="00B21309"/>
    <w:rsid w:val="00B22B8E"/>
    <w:rsid w:val="00B266E9"/>
    <w:rsid w:val="00B274EE"/>
    <w:rsid w:val="00B2756B"/>
    <w:rsid w:val="00B27ABB"/>
    <w:rsid w:val="00B3572F"/>
    <w:rsid w:val="00B35D02"/>
    <w:rsid w:val="00B36CE3"/>
    <w:rsid w:val="00B40F25"/>
    <w:rsid w:val="00B416EC"/>
    <w:rsid w:val="00B4333B"/>
    <w:rsid w:val="00B43F42"/>
    <w:rsid w:val="00B5058A"/>
    <w:rsid w:val="00B52AB6"/>
    <w:rsid w:val="00B531F7"/>
    <w:rsid w:val="00B53FF8"/>
    <w:rsid w:val="00B54128"/>
    <w:rsid w:val="00B55CB0"/>
    <w:rsid w:val="00B56693"/>
    <w:rsid w:val="00B5728A"/>
    <w:rsid w:val="00B61C2C"/>
    <w:rsid w:val="00B62C64"/>
    <w:rsid w:val="00B65233"/>
    <w:rsid w:val="00B66A37"/>
    <w:rsid w:val="00B73611"/>
    <w:rsid w:val="00B74604"/>
    <w:rsid w:val="00B7604C"/>
    <w:rsid w:val="00B76CF1"/>
    <w:rsid w:val="00B771AA"/>
    <w:rsid w:val="00B77AEC"/>
    <w:rsid w:val="00B802FD"/>
    <w:rsid w:val="00B80431"/>
    <w:rsid w:val="00B81CBF"/>
    <w:rsid w:val="00B82DE7"/>
    <w:rsid w:val="00B82E6A"/>
    <w:rsid w:val="00B8345E"/>
    <w:rsid w:val="00B84060"/>
    <w:rsid w:val="00B86253"/>
    <w:rsid w:val="00B9425A"/>
    <w:rsid w:val="00B9513D"/>
    <w:rsid w:val="00B97627"/>
    <w:rsid w:val="00BA1765"/>
    <w:rsid w:val="00BA199E"/>
    <w:rsid w:val="00BB197E"/>
    <w:rsid w:val="00BB2A0D"/>
    <w:rsid w:val="00BB2C89"/>
    <w:rsid w:val="00BB2ECD"/>
    <w:rsid w:val="00BB2EF1"/>
    <w:rsid w:val="00BB5297"/>
    <w:rsid w:val="00BB5477"/>
    <w:rsid w:val="00BB5FC7"/>
    <w:rsid w:val="00BC1057"/>
    <w:rsid w:val="00BC22E0"/>
    <w:rsid w:val="00BC4EFD"/>
    <w:rsid w:val="00BC6BA9"/>
    <w:rsid w:val="00BC6C60"/>
    <w:rsid w:val="00BC76FE"/>
    <w:rsid w:val="00BC7BCB"/>
    <w:rsid w:val="00BD405C"/>
    <w:rsid w:val="00BD4721"/>
    <w:rsid w:val="00BE2B46"/>
    <w:rsid w:val="00BE334E"/>
    <w:rsid w:val="00BE5379"/>
    <w:rsid w:val="00BE62F5"/>
    <w:rsid w:val="00BE77AC"/>
    <w:rsid w:val="00BF09D8"/>
    <w:rsid w:val="00BF0A84"/>
    <w:rsid w:val="00BF58FF"/>
    <w:rsid w:val="00BF5E3E"/>
    <w:rsid w:val="00C00850"/>
    <w:rsid w:val="00C00905"/>
    <w:rsid w:val="00C01D58"/>
    <w:rsid w:val="00C02941"/>
    <w:rsid w:val="00C02AD9"/>
    <w:rsid w:val="00C02BD0"/>
    <w:rsid w:val="00C03767"/>
    <w:rsid w:val="00C07005"/>
    <w:rsid w:val="00C10C3E"/>
    <w:rsid w:val="00C11ED7"/>
    <w:rsid w:val="00C12190"/>
    <w:rsid w:val="00C122F6"/>
    <w:rsid w:val="00C12602"/>
    <w:rsid w:val="00C12BD6"/>
    <w:rsid w:val="00C1448E"/>
    <w:rsid w:val="00C16E98"/>
    <w:rsid w:val="00C17D9A"/>
    <w:rsid w:val="00C21E92"/>
    <w:rsid w:val="00C23B68"/>
    <w:rsid w:val="00C24B17"/>
    <w:rsid w:val="00C27661"/>
    <w:rsid w:val="00C2789C"/>
    <w:rsid w:val="00C2797E"/>
    <w:rsid w:val="00C34D6B"/>
    <w:rsid w:val="00C35CD0"/>
    <w:rsid w:val="00C35EEF"/>
    <w:rsid w:val="00C3767A"/>
    <w:rsid w:val="00C376F1"/>
    <w:rsid w:val="00C41C2C"/>
    <w:rsid w:val="00C4580E"/>
    <w:rsid w:val="00C466D6"/>
    <w:rsid w:val="00C47035"/>
    <w:rsid w:val="00C52917"/>
    <w:rsid w:val="00C54593"/>
    <w:rsid w:val="00C548DB"/>
    <w:rsid w:val="00C56F48"/>
    <w:rsid w:val="00C57BB4"/>
    <w:rsid w:val="00C57EB9"/>
    <w:rsid w:val="00C60C45"/>
    <w:rsid w:val="00C628EB"/>
    <w:rsid w:val="00C64EF8"/>
    <w:rsid w:val="00C6641E"/>
    <w:rsid w:val="00C70487"/>
    <w:rsid w:val="00C73187"/>
    <w:rsid w:val="00C73E76"/>
    <w:rsid w:val="00C73F87"/>
    <w:rsid w:val="00C750F8"/>
    <w:rsid w:val="00C75E8D"/>
    <w:rsid w:val="00C77534"/>
    <w:rsid w:val="00C806B4"/>
    <w:rsid w:val="00C825AE"/>
    <w:rsid w:val="00C83B79"/>
    <w:rsid w:val="00C84A07"/>
    <w:rsid w:val="00C85420"/>
    <w:rsid w:val="00C87ABB"/>
    <w:rsid w:val="00C92E50"/>
    <w:rsid w:val="00C9406B"/>
    <w:rsid w:val="00C946C6"/>
    <w:rsid w:val="00C94750"/>
    <w:rsid w:val="00C94987"/>
    <w:rsid w:val="00C96297"/>
    <w:rsid w:val="00CA034F"/>
    <w:rsid w:val="00CA0BE6"/>
    <w:rsid w:val="00CA3956"/>
    <w:rsid w:val="00CA3BF7"/>
    <w:rsid w:val="00CA7B3B"/>
    <w:rsid w:val="00CA7FF9"/>
    <w:rsid w:val="00CB0789"/>
    <w:rsid w:val="00CB0D85"/>
    <w:rsid w:val="00CB14A0"/>
    <w:rsid w:val="00CB16F8"/>
    <w:rsid w:val="00CB2F4F"/>
    <w:rsid w:val="00CB2F60"/>
    <w:rsid w:val="00CB47B1"/>
    <w:rsid w:val="00CB5032"/>
    <w:rsid w:val="00CB5ABE"/>
    <w:rsid w:val="00CB6BDA"/>
    <w:rsid w:val="00CB77CB"/>
    <w:rsid w:val="00CC0CC8"/>
    <w:rsid w:val="00CC31F9"/>
    <w:rsid w:val="00CC3F1D"/>
    <w:rsid w:val="00CC4D10"/>
    <w:rsid w:val="00CD07B2"/>
    <w:rsid w:val="00CD0ABF"/>
    <w:rsid w:val="00CD14B8"/>
    <w:rsid w:val="00CD1A5A"/>
    <w:rsid w:val="00CD3135"/>
    <w:rsid w:val="00CD319A"/>
    <w:rsid w:val="00CD4B73"/>
    <w:rsid w:val="00CD55B7"/>
    <w:rsid w:val="00CD56F4"/>
    <w:rsid w:val="00CD5ACB"/>
    <w:rsid w:val="00CD6120"/>
    <w:rsid w:val="00CD6E2F"/>
    <w:rsid w:val="00CE09B8"/>
    <w:rsid w:val="00CE5407"/>
    <w:rsid w:val="00CE61A4"/>
    <w:rsid w:val="00CF180D"/>
    <w:rsid w:val="00CF1CD1"/>
    <w:rsid w:val="00CF1EBC"/>
    <w:rsid w:val="00CF2E01"/>
    <w:rsid w:val="00CF361C"/>
    <w:rsid w:val="00CF6386"/>
    <w:rsid w:val="00D001A4"/>
    <w:rsid w:val="00D00B7E"/>
    <w:rsid w:val="00D023DB"/>
    <w:rsid w:val="00D04AFE"/>
    <w:rsid w:val="00D07D7E"/>
    <w:rsid w:val="00D10FE6"/>
    <w:rsid w:val="00D1121E"/>
    <w:rsid w:val="00D13E5E"/>
    <w:rsid w:val="00D16785"/>
    <w:rsid w:val="00D220CD"/>
    <w:rsid w:val="00D268FA"/>
    <w:rsid w:val="00D26C86"/>
    <w:rsid w:val="00D30109"/>
    <w:rsid w:val="00D327DE"/>
    <w:rsid w:val="00D3318C"/>
    <w:rsid w:val="00D345B1"/>
    <w:rsid w:val="00D42826"/>
    <w:rsid w:val="00D42D97"/>
    <w:rsid w:val="00D4343C"/>
    <w:rsid w:val="00D44236"/>
    <w:rsid w:val="00D47696"/>
    <w:rsid w:val="00D50B71"/>
    <w:rsid w:val="00D51FFF"/>
    <w:rsid w:val="00D52AE8"/>
    <w:rsid w:val="00D555DB"/>
    <w:rsid w:val="00D57A8F"/>
    <w:rsid w:val="00D61332"/>
    <w:rsid w:val="00D61629"/>
    <w:rsid w:val="00D61A05"/>
    <w:rsid w:val="00D638EF"/>
    <w:rsid w:val="00D647CE"/>
    <w:rsid w:val="00D6715D"/>
    <w:rsid w:val="00D6790F"/>
    <w:rsid w:val="00D70ABA"/>
    <w:rsid w:val="00D72629"/>
    <w:rsid w:val="00D7313E"/>
    <w:rsid w:val="00D73D26"/>
    <w:rsid w:val="00D74B0A"/>
    <w:rsid w:val="00D778C0"/>
    <w:rsid w:val="00D77A36"/>
    <w:rsid w:val="00D8148E"/>
    <w:rsid w:val="00D82F62"/>
    <w:rsid w:val="00D83651"/>
    <w:rsid w:val="00D84E60"/>
    <w:rsid w:val="00D8672E"/>
    <w:rsid w:val="00D87303"/>
    <w:rsid w:val="00D900ED"/>
    <w:rsid w:val="00D92AF9"/>
    <w:rsid w:val="00D92C8B"/>
    <w:rsid w:val="00D951B9"/>
    <w:rsid w:val="00D95CFD"/>
    <w:rsid w:val="00DA1557"/>
    <w:rsid w:val="00DA3259"/>
    <w:rsid w:val="00DA4CB9"/>
    <w:rsid w:val="00DA6DDA"/>
    <w:rsid w:val="00DB3BDB"/>
    <w:rsid w:val="00DB6285"/>
    <w:rsid w:val="00DB73FF"/>
    <w:rsid w:val="00DB76C5"/>
    <w:rsid w:val="00DC1736"/>
    <w:rsid w:val="00DC2331"/>
    <w:rsid w:val="00DC2CA5"/>
    <w:rsid w:val="00DC2F2B"/>
    <w:rsid w:val="00DC3FAC"/>
    <w:rsid w:val="00DC5510"/>
    <w:rsid w:val="00DD1CA5"/>
    <w:rsid w:val="00DD2404"/>
    <w:rsid w:val="00DD61BA"/>
    <w:rsid w:val="00DE3800"/>
    <w:rsid w:val="00DE3D32"/>
    <w:rsid w:val="00DE4DAB"/>
    <w:rsid w:val="00DF1509"/>
    <w:rsid w:val="00DF5C56"/>
    <w:rsid w:val="00DF6D1D"/>
    <w:rsid w:val="00E04852"/>
    <w:rsid w:val="00E050FB"/>
    <w:rsid w:val="00E12A51"/>
    <w:rsid w:val="00E13ACD"/>
    <w:rsid w:val="00E168D8"/>
    <w:rsid w:val="00E208CD"/>
    <w:rsid w:val="00E20DC2"/>
    <w:rsid w:val="00E20E12"/>
    <w:rsid w:val="00E22740"/>
    <w:rsid w:val="00E23D15"/>
    <w:rsid w:val="00E24AC7"/>
    <w:rsid w:val="00E25BCE"/>
    <w:rsid w:val="00E25BD8"/>
    <w:rsid w:val="00E30066"/>
    <w:rsid w:val="00E36D6A"/>
    <w:rsid w:val="00E36E8F"/>
    <w:rsid w:val="00E37059"/>
    <w:rsid w:val="00E41E67"/>
    <w:rsid w:val="00E4498C"/>
    <w:rsid w:val="00E475B5"/>
    <w:rsid w:val="00E5171E"/>
    <w:rsid w:val="00E534F3"/>
    <w:rsid w:val="00E56938"/>
    <w:rsid w:val="00E642DE"/>
    <w:rsid w:val="00E66B45"/>
    <w:rsid w:val="00E73060"/>
    <w:rsid w:val="00E7350D"/>
    <w:rsid w:val="00E7409E"/>
    <w:rsid w:val="00E7491D"/>
    <w:rsid w:val="00E77F2F"/>
    <w:rsid w:val="00E80322"/>
    <w:rsid w:val="00E80CAF"/>
    <w:rsid w:val="00E8726A"/>
    <w:rsid w:val="00E87742"/>
    <w:rsid w:val="00E9025F"/>
    <w:rsid w:val="00E90675"/>
    <w:rsid w:val="00E9073F"/>
    <w:rsid w:val="00E90C79"/>
    <w:rsid w:val="00E91504"/>
    <w:rsid w:val="00E91D94"/>
    <w:rsid w:val="00E93107"/>
    <w:rsid w:val="00E94E4B"/>
    <w:rsid w:val="00E955C9"/>
    <w:rsid w:val="00E959D2"/>
    <w:rsid w:val="00E96645"/>
    <w:rsid w:val="00E967BE"/>
    <w:rsid w:val="00EA0A54"/>
    <w:rsid w:val="00EA108F"/>
    <w:rsid w:val="00EA1E65"/>
    <w:rsid w:val="00EA3788"/>
    <w:rsid w:val="00EA3CD5"/>
    <w:rsid w:val="00EA7CAA"/>
    <w:rsid w:val="00EB0DE5"/>
    <w:rsid w:val="00EB49DB"/>
    <w:rsid w:val="00EB5AFD"/>
    <w:rsid w:val="00EC0D25"/>
    <w:rsid w:val="00EC0E2A"/>
    <w:rsid w:val="00EC2A2D"/>
    <w:rsid w:val="00EC474F"/>
    <w:rsid w:val="00EC74A8"/>
    <w:rsid w:val="00EC7515"/>
    <w:rsid w:val="00ED2D5E"/>
    <w:rsid w:val="00EE326B"/>
    <w:rsid w:val="00EE3B76"/>
    <w:rsid w:val="00EE4DE6"/>
    <w:rsid w:val="00EE744B"/>
    <w:rsid w:val="00EF2C38"/>
    <w:rsid w:val="00EF3A49"/>
    <w:rsid w:val="00EF4600"/>
    <w:rsid w:val="00EF5DA1"/>
    <w:rsid w:val="00EF7B84"/>
    <w:rsid w:val="00F02366"/>
    <w:rsid w:val="00F02E1D"/>
    <w:rsid w:val="00F0343D"/>
    <w:rsid w:val="00F0371F"/>
    <w:rsid w:val="00F064D1"/>
    <w:rsid w:val="00F11E41"/>
    <w:rsid w:val="00F1479A"/>
    <w:rsid w:val="00F15295"/>
    <w:rsid w:val="00F1668B"/>
    <w:rsid w:val="00F17F4D"/>
    <w:rsid w:val="00F218BF"/>
    <w:rsid w:val="00F2464F"/>
    <w:rsid w:val="00F2660B"/>
    <w:rsid w:val="00F3062C"/>
    <w:rsid w:val="00F32519"/>
    <w:rsid w:val="00F32568"/>
    <w:rsid w:val="00F342B6"/>
    <w:rsid w:val="00F356F3"/>
    <w:rsid w:val="00F368FA"/>
    <w:rsid w:val="00F37260"/>
    <w:rsid w:val="00F41222"/>
    <w:rsid w:val="00F415F6"/>
    <w:rsid w:val="00F42649"/>
    <w:rsid w:val="00F445AE"/>
    <w:rsid w:val="00F44A0E"/>
    <w:rsid w:val="00F44BBB"/>
    <w:rsid w:val="00F465F3"/>
    <w:rsid w:val="00F46E7C"/>
    <w:rsid w:val="00F473F0"/>
    <w:rsid w:val="00F47489"/>
    <w:rsid w:val="00F47DD9"/>
    <w:rsid w:val="00F50980"/>
    <w:rsid w:val="00F542B4"/>
    <w:rsid w:val="00F554AF"/>
    <w:rsid w:val="00F6351D"/>
    <w:rsid w:val="00F65CF9"/>
    <w:rsid w:val="00F66086"/>
    <w:rsid w:val="00F66326"/>
    <w:rsid w:val="00F70CD1"/>
    <w:rsid w:val="00F70F62"/>
    <w:rsid w:val="00F71C20"/>
    <w:rsid w:val="00F72AD5"/>
    <w:rsid w:val="00F74081"/>
    <w:rsid w:val="00F7544D"/>
    <w:rsid w:val="00F75552"/>
    <w:rsid w:val="00F75ED1"/>
    <w:rsid w:val="00F75F8E"/>
    <w:rsid w:val="00F80D32"/>
    <w:rsid w:val="00F8370F"/>
    <w:rsid w:val="00F903F0"/>
    <w:rsid w:val="00F915F8"/>
    <w:rsid w:val="00F916F8"/>
    <w:rsid w:val="00F921CF"/>
    <w:rsid w:val="00F97329"/>
    <w:rsid w:val="00F97590"/>
    <w:rsid w:val="00F97C1B"/>
    <w:rsid w:val="00FA0652"/>
    <w:rsid w:val="00FA1617"/>
    <w:rsid w:val="00FA33BB"/>
    <w:rsid w:val="00FA4994"/>
    <w:rsid w:val="00FA53B7"/>
    <w:rsid w:val="00FA5AD0"/>
    <w:rsid w:val="00FA6E8A"/>
    <w:rsid w:val="00FA743F"/>
    <w:rsid w:val="00FA7C6B"/>
    <w:rsid w:val="00FB15D6"/>
    <w:rsid w:val="00FB1765"/>
    <w:rsid w:val="00FB2508"/>
    <w:rsid w:val="00FB5DE8"/>
    <w:rsid w:val="00FB7494"/>
    <w:rsid w:val="00FC0AE5"/>
    <w:rsid w:val="00FC3B7F"/>
    <w:rsid w:val="00FC3BAB"/>
    <w:rsid w:val="00FC5E27"/>
    <w:rsid w:val="00FD2FA0"/>
    <w:rsid w:val="00FD3266"/>
    <w:rsid w:val="00FD4318"/>
    <w:rsid w:val="00FE24FC"/>
    <w:rsid w:val="00FE3242"/>
    <w:rsid w:val="00FE3499"/>
    <w:rsid w:val="00FE4438"/>
    <w:rsid w:val="00FE53B6"/>
    <w:rsid w:val="00FF1989"/>
    <w:rsid w:val="00FF4E5C"/>
    <w:rsid w:val="00FF576F"/>
    <w:rsid w:val="00FF57F4"/>
    <w:rsid w:val="00FF6E11"/>
    <w:rsid w:val="011573D8"/>
    <w:rsid w:val="01222966"/>
    <w:rsid w:val="0198DC9B"/>
    <w:rsid w:val="020FB7CF"/>
    <w:rsid w:val="023B7AF7"/>
    <w:rsid w:val="02536F47"/>
    <w:rsid w:val="03167619"/>
    <w:rsid w:val="035D193F"/>
    <w:rsid w:val="0442567A"/>
    <w:rsid w:val="0513D346"/>
    <w:rsid w:val="05E40D06"/>
    <w:rsid w:val="05EB8801"/>
    <w:rsid w:val="061C4070"/>
    <w:rsid w:val="067537A9"/>
    <w:rsid w:val="069EA8C8"/>
    <w:rsid w:val="0705360C"/>
    <w:rsid w:val="075DAE6C"/>
    <w:rsid w:val="07601A28"/>
    <w:rsid w:val="07989D71"/>
    <w:rsid w:val="07D8114D"/>
    <w:rsid w:val="080A1400"/>
    <w:rsid w:val="08756534"/>
    <w:rsid w:val="08CCE03D"/>
    <w:rsid w:val="090CA264"/>
    <w:rsid w:val="09457E0C"/>
    <w:rsid w:val="09518B94"/>
    <w:rsid w:val="098336E5"/>
    <w:rsid w:val="09B15687"/>
    <w:rsid w:val="0A17AF8F"/>
    <w:rsid w:val="0A6696D6"/>
    <w:rsid w:val="0B11E819"/>
    <w:rsid w:val="0B1C7182"/>
    <w:rsid w:val="0B7E5243"/>
    <w:rsid w:val="0D0A343A"/>
    <w:rsid w:val="0E3AB33C"/>
    <w:rsid w:val="0E5281EB"/>
    <w:rsid w:val="0EC56310"/>
    <w:rsid w:val="0F11F1FE"/>
    <w:rsid w:val="0F614298"/>
    <w:rsid w:val="0F65BB54"/>
    <w:rsid w:val="0FDDD508"/>
    <w:rsid w:val="0FE00667"/>
    <w:rsid w:val="104179CA"/>
    <w:rsid w:val="10437548"/>
    <w:rsid w:val="1099D9DF"/>
    <w:rsid w:val="10AA823D"/>
    <w:rsid w:val="10D76468"/>
    <w:rsid w:val="10F55A62"/>
    <w:rsid w:val="11333ACA"/>
    <w:rsid w:val="11A2BBB5"/>
    <w:rsid w:val="12A5640D"/>
    <w:rsid w:val="12BED532"/>
    <w:rsid w:val="13099798"/>
    <w:rsid w:val="134569C7"/>
    <w:rsid w:val="1389C989"/>
    <w:rsid w:val="13E0BD21"/>
    <w:rsid w:val="14768B5F"/>
    <w:rsid w:val="14DFE74E"/>
    <w:rsid w:val="14FC83A9"/>
    <w:rsid w:val="15D3027C"/>
    <w:rsid w:val="16EC530B"/>
    <w:rsid w:val="17053D7C"/>
    <w:rsid w:val="172A2D4E"/>
    <w:rsid w:val="1782CF0F"/>
    <w:rsid w:val="17D87AE9"/>
    <w:rsid w:val="17EE6E70"/>
    <w:rsid w:val="18115E11"/>
    <w:rsid w:val="18705846"/>
    <w:rsid w:val="18FA19B2"/>
    <w:rsid w:val="19A8C8A3"/>
    <w:rsid w:val="19B3ADD7"/>
    <w:rsid w:val="1A4DF5EE"/>
    <w:rsid w:val="1A97B561"/>
    <w:rsid w:val="1AA7669C"/>
    <w:rsid w:val="1AAF83A0"/>
    <w:rsid w:val="1AB427FA"/>
    <w:rsid w:val="1AD147A7"/>
    <w:rsid w:val="1ADB9563"/>
    <w:rsid w:val="1B7D3D5A"/>
    <w:rsid w:val="1B7DC750"/>
    <w:rsid w:val="1C09BDD7"/>
    <w:rsid w:val="1C3C61A8"/>
    <w:rsid w:val="1C416C0E"/>
    <w:rsid w:val="1C7C67AD"/>
    <w:rsid w:val="1D6131C7"/>
    <w:rsid w:val="1DAD4360"/>
    <w:rsid w:val="1DE52741"/>
    <w:rsid w:val="1E88EDCC"/>
    <w:rsid w:val="1ECFB78D"/>
    <w:rsid w:val="1EF5E056"/>
    <w:rsid w:val="1F2D7395"/>
    <w:rsid w:val="200B7149"/>
    <w:rsid w:val="2217E8E6"/>
    <w:rsid w:val="2249CC7E"/>
    <w:rsid w:val="22C96A23"/>
    <w:rsid w:val="235AF632"/>
    <w:rsid w:val="23D18BB9"/>
    <w:rsid w:val="23D67074"/>
    <w:rsid w:val="25A70400"/>
    <w:rsid w:val="25C8935B"/>
    <w:rsid w:val="260ADB13"/>
    <w:rsid w:val="26CC4CA2"/>
    <w:rsid w:val="27057D1A"/>
    <w:rsid w:val="270D25B7"/>
    <w:rsid w:val="27F2FCE1"/>
    <w:rsid w:val="28180DA6"/>
    <w:rsid w:val="297981C6"/>
    <w:rsid w:val="2A97A8CA"/>
    <w:rsid w:val="2AA289E1"/>
    <w:rsid w:val="2C1D4521"/>
    <w:rsid w:val="2D298724"/>
    <w:rsid w:val="2D9DCC0A"/>
    <w:rsid w:val="2E298940"/>
    <w:rsid w:val="2E2C6748"/>
    <w:rsid w:val="2E3E71F1"/>
    <w:rsid w:val="2E3F96AF"/>
    <w:rsid w:val="2E60F124"/>
    <w:rsid w:val="2E72C720"/>
    <w:rsid w:val="2E7D753C"/>
    <w:rsid w:val="2EEEF4BD"/>
    <w:rsid w:val="2F3E6FE6"/>
    <w:rsid w:val="2F9B716E"/>
    <w:rsid w:val="2FAB755E"/>
    <w:rsid w:val="3009203A"/>
    <w:rsid w:val="305404C9"/>
    <w:rsid w:val="30B3FE31"/>
    <w:rsid w:val="31509B7C"/>
    <w:rsid w:val="315340BF"/>
    <w:rsid w:val="31CF634D"/>
    <w:rsid w:val="31F30E4D"/>
    <w:rsid w:val="31F3DD7F"/>
    <w:rsid w:val="325AE886"/>
    <w:rsid w:val="32BDEE08"/>
    <w:rsid w:val="32FDD440"/>
    <w:rsid w:val="347E4DC3"/>
    <w:rsid w:val="34D98EBF"/>
    <w:rsid w:val="34EEF5E5"/>
    <w:rsid w:val="353D5090"/>
    <w:rsid w:val="35D8D750"/>
    <w:rsid w:val="3665D897"/>
    <w:rsid w:val="36ACCD1F"/>
    <w:rsid w:val="39CE0633"/>
    <w:rsid w:val="39DE44EB"/>
    <w:rsid w:val="3A0DDE29"/>
    <w:rsid w:val="3C10B49E"/>
    <w:rsid w:val="3D6CA00A"/>
    <w:rsid w:val="3D75358F"/>
    <w:rsid w:val="3D9EB825"/>
    <w:rsid w:val="3E37F7D7"/>
    <w:rsid w:val="3E890816"/>
    <w:rsid w:val="3F1D7E38"/>
    <w:rsid w:val="3FFAC679"/>
    <w:rsid w:val="401F2B22"/>
    <w:rsid w:val="40B396FF"/>
    <w:rsid w:val="40D3AAF6"/>
    <w:rsid w:val="41414300"/>
    <w:rsid w:val="4187C78C"/>
    <w:rsid w:val="419CDAB2"/>
    <w:rsid w:val="42D644FE"/>
    <w:rsid w:val="42FF12C7"/>
    <w:rsid w:val="433BF7AC"/>
    <w:rsid w:val="4380B79A"/>
    <w:rsid w:val="443A79FB"/>
    <w:rsid w:val="44E1276C"/>
    <w:rsid w:val="45003E67"/>
    <w:rsid w:val="453BB4D8"/>
    <w:rsid w:val="456B6DC2"/>
    <w:rsid w:val="45E86F76"/>
    <w:rsid w:val="46192B57"/>
    <w:rsid w:val="46FD169E"/>
    <w:rsid w:val="46FD4804"/>
    <w:rsid w:val="4718E3F4"/>
    <w:rsid w:val="472D1496"/>
    <w:rsid w:val="47D2F819"/>
    <w:rsid w:val="47F79402"/>
    <w:rsid w:val="484BBAB4"/>
    <w:rsid w:val="48758BF4"/>
    <w:rsid w:val="4914C8FB"/>
    <w:rsid w:val="4A652EBC"/>
    <w:rsid w:val="4A7CE2A3"/>
    <w:rsid w:val="4A89EE10"/>
    <w:rsid w:val="4B57D070"/>
    <w:rsid w:val="4B8E85C6"/>
    <w:rsid w:val="4BFA7DEB"/>
    <w:rsid w:val="4C9EC8E2"/>
    <w:rsid w:val="4D175262"/>
    <w:rsid w:val="4EDA46C9"/>
    <w:rsid w:val="4F7857E5"/>
    <w:rsid w:val="506C967F"/>
    <w:rsid w:val="5099EAC9"/>
    <w:rsid w:val="50FAA74E"/>
    <w:rsid w:val="51CC34E3"/>
    <w:rsid w:val="5202FF01"/>
    <w:rsid w:val="525C2944"/>
    <w:rsid w:val="53220CDB"/>
    <w:rsid w:val="533A4827"/>
    <w:rsid w:val="55335B38"/>
    <w:rsid w:val="55A75267"/>
    <w:rsid w:val="55E920E7"/>
    <w:rsid w:val="561BD8C6"/>
    <w:rsid w:val="5630BAF5"/>
    <w:rsid w:val="56407843"/>
    <w:rsid w:val="565669D8"/>
    <w:rsid w:val="572E106B"/>
    <w:rsid w:val="57885D55"/>
    <w:rsid w:val="59876064"/>
    <w:rsid w:val="5A24907B"/>
    <w:rsid w:val="5AE222C7"/>
    <w:rsid w:val="5B0A36EE"/>
    <w:rsid w:val="5BD703DF"/>
    <w:rsid w:val="5BEC2FDE"/>
    <w:rsid w:val="5C2241AD"/>
    <w:rsid w:val="5DFFA72E"/>
    <w:rsid w:val="5E110813"/>
    <w:rsid w:val="5E380AE3"/>
    <w:rsid w:val="5E5D2783"/>
    <w:rsid w:val="5E8596D0"/>
    <w:rsid w:val="5EC72560"/>
    <w:rsid w:val="5ECCBC0D"/>
    <w:rsid w:val="60118B90"/>
    <w:rsid w:val="603B8E8D"/>
    <w:rsid w:val="6049477D"/>
    <w:rsid w:val="60B22A57"/>
    <w:rsid w:val="60FBC98E"/>
    <w:rsid w:val="6103CEA2"/>
    <w:rsid w:val="617F1757"/>
    <w:rsid w:val="6202755D"/>
    <w:rsid w:val="6246FE7C"/>
    <w:rsid w:val="629DF058"/>
    <w:rsid w:val="62B6C634"/>
    <w:rsid w:val="638CE678"/>
    <w:rsid w:val="64002964"/>
    <w:rsid w:val="65D2B868"/>
    <w:rsid w:val="66930843"/>
    <w:rsid w:val="66A9AAB5"/>
    <w:rsid w:val="66E01A3E"/>
    <w:rsid w:val="670264ED"/>
    <w:rsid w:val="6707A1E8"/>
    <w:rsid w:val="672E79A6"/>
    <w:rsid w:val="676B374F"/>
    <w:rsid w:val="67C37348"/>
    <w:rsid w:val="67F489A9"/>
    <w:rsid w:val="67F6B9D0"/>
    <w:rsid w:val="6801C1A2"/>
    <w:rsid w:val="6832EAAB"/>
    <w:rsid w:val="6902E4E0"/>
    <w:rsid w:val="69CB722C"/>
    <w:rsid w:val="69CED64A"/>
    <w:rsid w:val="69FF1773"/>
    <w:rsid w:val="6A3449CB"/>
    <w:rsid w:val="6A570BAE"/>
    <w:rsid w:val="6A59345F"/>
    <w:rsid w:val="6A9AE238"/>
    <w:rsid w:val="6AD0EB56"/>
    <w:rsid w:val="6B7D22C0"/>
    <w:rsid w:val="6B922E36"/>
    <w:rsid w:val="6C4D7F9C"/>
    <w:rsid w:val="6C86D884"/>
    <w:rsid w:val="6D3B63A6"/>
    <w:rsid w:val="6D7D7994"/>
    <w:rsid w:val="6D82BE89"/>
    <w:rsid w:val="6E1BBF64"/>
    <w:rsid w:val="6E81C3F7"/>
    <w:rsid w:val="6F4E15F5"/>
    <w:rsid w:val="6F90EC5C"/>
    <w:rsid w:val="6F9CF74B"/>
    <w:rsid w:val="70A78730"/>
    <w:rsid w:val="70F8B104"/>
    <w:rsid w:val="713A9E7D"/>
    <w:rsid w:val="715C0BC0"/>
    <w:rsid w:val="71905096"/>
    <w:rsid w:val="719F666C"/>
    <w:rsid w:val="71D7B17C"/>
    <w:rsid w:val="74C0A376"/>
    <w:rsid w:val="74E87469"/>
    <w:rsid w:val="7510CD72"/>
    <w:rsid w:val="75271BAA"/>
    <w:rsid w:val="75A5B632"/>
    <w:rsid w:val="75CD2993"/>
    <w:rsid w:val="76325D8F"/>
    <w:rsid w:val="769AE767"/>
    <w:rsid w:val="78080451"/>
    <w:rsid w:val="78C73D06"/>
    <w:rsid w:val="78D2C3CC"/>
    <w:rsid w:val="79A1FA9F"/>
    <w:rsid w:val="79E900EA"/>
    <w:rsid w:val="7A0F7F38"/>
    <w:rsid w:val="7A70AD4E"/>
    <w:rsid w:val="7B0615ED"/>
    <w:rsid w:val="7B48A8B0"/>
    <w:rsid w:val="7B85C61A"/>
    <w:rsid w:val="7BE39EA7"/>
    <w:rsid w:val="7C95348A"/>
    <w:rsid w:val="7CD7C301"/>
    <w:rsid w:val="7CE11CC7"/>
    <w:rsid w:val="7D42960D"/>
    <w:rsid w:val="7D71B974"/>
    <w:rsid w:val="7EDD531B"/>
    <w:rsid w:val="7F0CA0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89B36"/>
  <w15:chartTrackingRefBased/>
  <w15:docId w15:val="{F9895602-FBC2-485B-8F34-28283D56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62"/>
    <w:pPr>
      <w:spacing w:before="160"/>
    </w:pPr>
    <w:rPr>
      <w:sz w:val="25"/>
      <w:szCs w:val="25"/>
    </w:rPr>
  </w:style>
  <w:style w:type="paragraph" w:styleId="Heading1">
    <w:name w:val="heading 1"/>
    <w:basedOn w:val="Normal"/>
    <w:next w:val="Normal"/>
    <w:link w:val="Heading1Char"/>
    <w:uiPriority w:val="9"/>
    <w:qFormat/>
    <w:rsid w:val="00D82F62"/>
    <w:pPr>
      <w:keepNext/>
      <w:keepLines/>
      <w:spacing w:before="240" w:after="240"/>
      <w:outlineLvl w:val="0"/>
    </w:pPr>
    <w:rPr>
      <w:rFonts w:asciiTheme="majorHAnsi" w:eastAsiaTheme="majorEastAsia" w:hAnsiTheme="majorHAnsi" w:cstheme="majorBidi"/>
      <w:b/>
      <w:bCs/>
      <w:color w:val="2F5496" w:themeColor="accent1" w:themeShade="BF"/>
      <w:sz w:val="44"/>
      <w:szCs w:val="44"/>
    </w:rPr>
  </w:style>
  <w:style w:type="paragraph" w:styleId="Heading2">
    <w:name w:val="heading 2"/>
    <w:basedOn w:val="Heading1"/>
    <w:next w:val="Normal"/>
    <w:link w:val="Heading2Char"/>
    <w:uiPriority w:val="9"/>
    <w:unhideWhenUsed/>
    <w:qFormat/>
    <w:rsid w:val="00D82F62"/>
    <w:pPr>
      <w:spacing w:before="280" w:after="160"/>
      <w:outlineLvl w:val="1"/>
    </w:pPr>
    <w:rPr>
      <w:rFonts w:asciiTheme="minorHAnsi" w:hAnsiTheme="minorHAnsi" w:cs="Calibri"/>
      <w:sz w:val="40"/>
      <w:szCs w:val="40"/>
    </w:rPr>
  </w:style>
  <w:style w:type="paragraph" w:styleId="Heading3">
    <w:name w:val="heading 3"/>
    <w:basedOn w:val="Normal"/>
    <w:next w:val="Normal"/>
    <w:link w:val="Heading3Char"/>
    <w:uiPriority w:val="9"/>
    <w:unhideWhenUsed/>
    <w:qFormat/>
    <w:rsid w:val="00B5728A"/>
    <w:pPr>
      <w:keepNext/>
      <w:keepLines/>
      <w:numPr>
        <w:numId w:val="17"/>
      </w:numPr>
      <w:spacing w:before="400" w:after="120"/>
      <w:ind w:left="425" w:hanging="425"/>
      <w:outlineLvl w:val="2"/>
    </w:pPr>
    <w:rPr>
      <w:rFonts w:ascii="Calibri" w:eastAsiaTheme="majorEastAsia" w:hAnsi="Calibri" w:cs="Calibri"/>
      <w:b/>
      <w:bCs/>
      <w:color w:val="1F3763" w:themeColor="accent1" w:themeShade="7F"/>
      <w:sz w:val="32"/>
      <w:szCs w:val="32"/>
    </w:rPr>
  </w:style>
  <w:style w:type="paragraph" w:styleId="Heading4">
    <w:name w:val="heading 4"/>
    <w:basedOn w:val="Normal"/>
    <w:next w:val="Normal"/>
    <w:link w:val="Heading4Char"/>
    <w:uiPriority w:val="9"/>
    <w:unhideWhenUsed/>
    <w:qFormat/>
    <w:rsid w:val="00DE3D32"/>
    <w:pPr>
      <w:keepNext/>
      <w:keepLines/>
      <w:spacing w:before="200" w:after="100"/>
      <w:outlineLvl w:val="3"/>
    </w:pPr>
    <w:rPr>
      <w:rFonts w:ascii="Arial" w:eastAsiaTheme="majorEastAsia" w:hAnsi="Arial" w:cs="Arial"/>
      <w:b/>
      <w:bC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1FFF"/>
    <w:rPr>
      <w:i/>
      <w:iCs/>
    </w:rPr>
  </w:style>
  <w:style w:type="paragraph" w:styleId="ListParagraph">
    <w:name w:val="List Paragraph"/>
    <w:basedOn w:val="Normal"/>
    <w:link w:val="ListParagraphChar"/>
    <w:uiPriority w:val="34"/>
    <w:qFormat/>
    <w:rsid w:val="00D30109"/>
    <w:pPr>
      <w:ind w:left="720"/>
      <w:contextualSpacing/>
    </w:pPr>
  </w:style>
  <w:style w:type="paragraph" w:styleId="BodyText">
    <w:name w:val="Body Text"/>
    <w:basedOn w:val="Normal"/>
    <w:link w:val="BodyTextChar"/>
    <w:uiPriority w:val="99"/>
    <w:unhideWhenUsed/>
    <w:rsid w:val="00AD762D"/>
  </w:style>
  <w:style w:type="character" w:customStyle="1" w:styleId="BodyTextChar">
    <w:name w:val="Body Text Char"/>
    <w:basedOn w:val="DefaultParagraphFont"/>
    <w:link w:val="BodyText"/>
    <w:uiPriority w:val="99"/>
    <w:rsid w:val="00AD762D"/>
    <w:rPr>
      <w:sz w:val="24"/>
      <w:szCs w:val="24"/>
    </w:rPr>
  </w:style>
  <w:style w:type="paragraph" w:customStyle="1" w:styleId="paragraph">
    <w:name w:val="paragraph"/>
    <w:basedOn w:val="Normal"/>
    <w:link w:val="paragraphChar"/>
    <w:rsid w:val="00B8625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B86253"/>
  </w:style>
  <w:style w:type="character" w:customStyle="1" w:styleId="normaltextrun">
    <w:name w:val="normaltextrun"/>
    <w:basedOn w:val="DefaultParagraphFont"/>
    <w:rsid w:val="00B86253"/>
  </w:style>
  <w:style w:type="character" w:customStyle="1" w:styleId="contextualspellingandgrammarerror">
    <w:name w:val="contextualspellingandgrammarerror"/>
    <w:basedOn w:val="DefaultParagraphFont"/>
    <w:rsid w:val="00B86253"/>
  </w:style>
  <w:style w:type="character" w:customStyle="1" w:styleId="spellingerror">
    <w:name w:val="spellingerror"/>
    <w:basedOn w:val="DefaultParagraphFont"/>
    <w:rsid w:val="00B86253"/>
  </w:style>
  <w:style w:type="character" w:customStyle="1" w:styleId="pagebreaktextspan">
    <w:name w:val="pagebreaktextspan"/>
    <w:basedOn w:val="DefaultParagraphFont"/>
    <w:rsid w:val="00B86253"/>
  </w:style>
  <w:style w:type="character" w:customStyle="1" w:styleId="advancedproofingissue">
    <w:name w:val="advancedproofingissue"/>
    <w:basedOn w:val="DefaultParagraphFont"/>
    <w:rsid w:val="003E68B0"/>
  </w:style>
  <w:style w:type="paragraph" w:styleId="Header">
    <w:name w:val="header"/>
    <w:basedOn w:val="Normal"/>
    <w:link w:val="HeaderChar"/>
    <w:uiPriority w:val="99"/>
    <w:unhideWhenUsed/>
    <w:rsid w:val="009B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48"/>
  </w:style>
  <w:style w:type="paragraph" w:styleId="Footer">
    <w:name w:val="footer"/>
    <w:basedOn w:val="Normal"/>
    <w:link w:val="FooterChar"/>
    <w:uiPriority w:val="99"/>
    <w:unhideWhenUsed/>
    <w:rsid w:val="009B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48"/>
  </w:style>
  <w:style w:type="table" w:styleId="TableGrid">
    <w:name w:val="Table Grid"/>
    <w:basedOn w:val="TableNormal"/>
    <w:uiPriority w:val="39"/>
    <w:rsid w:val="000C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5616"/>
    <w:pPr>
      <w:spacing w:line="240" w:lineRule="auto"/>
    </w:pPr>
    <w:rPr>
      <w:sz w:val="20"/>
      <w:szCs w:val="20"/>
    </w:rPr>
  </w:style>
  <w:style w:type="character" w:customStyle="1" w:styleId="CommentTextChar">
    <w:name w:val="Comment Text Char"/>
    <w:basedOn w:val="DefaultParagraphFont"/>
    <w:link w:val="CommentText"/>
    <w:uiPriority w:val="99"/>
    <w:rsid w:val="000C5616"/>
    <w:rPr>
      <w:sz w:val="20"/>
      <w:szCs w:val="20"/>
    </w:rPr>
  </w:style>
  <w:style w:type="character" w:customStyle="1" w:styleId="Heading1Char">
    <w:name w:val="Heading 1 Char"/>
    <w:basedOn w:val="DefaultParagraphFont"/>
    <w:link w:val="Heading1"/>
    <w:uiPriority w:val="9"/>
    <w:rsid w:val="00D82F62"/>
    <w:rPr>
      <w:rFonts w:asciiTheme="majorHAnsi" w:eastAsiaTheme="majorEastAsia" w:hAnsiTheme="majorHAnsi" w:cstheme="majorBidi"/>
      <w:b/>
      <w:bCs/>
      <w:color w:val="2F5496" w:themeColor="accent1" w:themeShade="BF"/>
      <w:sz w:val="44"/>
      <w:szCs w:val="44"/>
    </w:rPr>
  </w:style>
  <w:style w:type="paragraph" w:styleId="TOCHeading">
    <w:name w:val="TOC Heading"/>
    <w:basedOn w:val="Heading1"/>
    <w:next w:val="Normal"/>
    <w:uiPriority w:val="39"/>
    <w:unhideWhenUsed/>
    <w:qFormat/>
    <w:rsid w:val="00BB2EF1"/>
    <w:pPr>
      <w:outlineLvl w:val="9"/>
    </w:pPr>
    <w:rPr>
      <w:lang w:val="en-US"/>
    </w:rPr>
  </w:style>
  <w:style w:type="paragraph" w:styleId="TOC1">
    <w:name w:val="toc 1"/>
    <w:basedOn w:val="Normal"/>
    <w:next w:val="Normal"/>
    <w:autoRedefine/>
    <w:uiPriority w:val="39"/>
    <w:unhideWhenUsed/>
    <w:rsid w:val="00BB2EF1"/>
    <w:pPr>
      <w:spacing w:after="100"/>
    </w:pPr>
  </w:style>
  <w:style w:type="character" w:styleId="Hyperlink">
    <w:name w:val="Hyperlink"/>
    <w:basedOn w:val="DefaultParagraphFont"/>
    <w:uiPriority w:val="99"/>
    <w:unhideWhenUsed/>
    <w:rsid w:val="00BB2EF1"/>
    <w:rPr>
      <w:color w:val="0563C1" w:themeColor="hyperlink"/>
      <w:u w:val="single"/>
    </w:rPr>
  </w:style>
  <w:style w:type="paragraph" w:styleId="BalloonText">
    <w:name w:val="Balloon Text"/>
    <w:basedOn w:val="Normal"/>
    <w:link w:val="BalloonTextChar"/>
    <w:uiPriority w:val="99"/>
    <w:semiHidden/>
    <w:unhideWhenUsed/>
    <w:rsid w:val="0016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C7"/>
    <w:rPr>
      <w:rFonts w:ascii="Segoe UI" w:hAnsi="Segoe UI" w:cs="Segoe UI"/>
      <w:sz w:val="18"/>
      <w:szCs w:val="18"/>
    </w:rPr>
  </w:style>
  <w:style w:type="character" w:styleId="Strong">
    <w:name w:val="Strong"/>
    <w:basedOn w:val="DefaultParagraphFont"/>
    <w:uiPriority w:val="22"/>
    <w:qFormat/>
    <w:rsid w:val="00857730"/>
    <w:rPr>
      <w:b/>
      <w:bCs/>
    </w:rPr>
  </w:style>
  <w:style w:type="character" w:styleId="CommentReference">
    <w:name w:val="annotation reference"/>
    <w:basedOn w:val="DefaultParagraphFont"/>
    <w:uiPriority w:val="99"/>
    <w:semiHidden/>
    <w:unhideWhenUsed/>
    <w:rsid w:val="00857730"/>
    <w:rPr>
      <w:sz w:val="16"/>
      <w:szCs w:val="16"/>
    </w:rPr>
  </w:style>
  <w:style w:type="paragraph" w:styleId="CommentSubject">
    <w:name w:val="annotation subject"/>
    <w:basedOn w:val="CommentText"/>
    <w:next w:val="CommentText"/>
    <w:link w:val="CommentSubjectChar"/>
    <w:uiPriority w:val="99"/>
    <w:semiHidden/>
    <w:unhideWhenUsed/>
    <w:rsid w:val="00857730"/>
    <w:rPr>
      <w:b/>
      <w:bCs/>
    </w:rPr>
  </w:style>
  <w:style w:type="character" w:customStyle="1" w:styleId="CommentSubjectChar">
    <w:name w:val="Comment Subject Char"/>
    <w:basedOn w:val="CommentTextChar"/>
    <w:link w:val="CommentSubject"/>
    <w:uiPriority w:val="99"/>
    <w:semiHidden/>
    <w:rsid w:val="00857730"/>
    <w:rPr>
      <w:b/>
      <w:bCs/>
      <w:sz w:val="20"/>
      <w:szCs w:val="20"/>
    </w:rPr>
  </w:style>
  <w:style w:type="character" w:customStyle="1" w:styleId="Heading2Char">
    <w:name w:val="Heading 2 Char"/>
    <w:basedOn w:val="DefaultParagraphFont"/>
    <w:link w:val="Heading2"/>
    <w:uiPriority w:val="9"/>
    <w:rsid w:val="00D82F62"/>
    <w:rPr>
      <w:rFonts w:eastAsiaTheme="majorEastAsia" w:cs="Calibri"/>
      <w:b/>
      <w:bCs/>
      <w:color w:val="2F5496" w:themeColor="accent1" w:themeShade="BF"/>
      <w:sz w:val="40"/>
      <w:szCs w:val="40"/>
    </w:rPr>
  </w:style>
  <w:style w:type="paragraph" w:styleId="NoSpacing">
    <w:name w:val="No Spacing"/>
    <w:uiPriority w:val="1"/>
    <w:qFormat/>
    <w:rsid w:val="00D4343C"/>
    <w:pPr>
      <w:spacing w:after="0" w:line="240" w:lineRule="auto"/>
    </w:pPr>
  </w:style>
  <w:style w:type="character" w:styleId="FootnoteReference">
    <w:name w:val="footnote reference"/>
    <w:basedOn w:val="DefaultParagraphFont"/>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nhideWhenUsed/>
    <w:pPr>
      <w:spacing w:after="0" w:line="240" w:lineRule="auto"/>
    </w:pPr>
    <w:rPr>
      <w:sz w:val="20"/>
      <w:szCs w:val="20"/>
    </w:rPr>
  </w:style>
  <w:style w:type="paragraph" w:styleId="TOC2">
    <w:name w:val="toc 2"/>
    <w:basedOn w:val="Normal"/>
    <w:next w:val="Normal"/>
    <w:autoRedefine/>
    <w:uiPriority w:val="39"/>
    <w:unhideWhenUsed/>
    <w:rsid w:val="00C3767A"/>
    <w:pPr>
      <w:tabs>
        <w:tab w:val="right" w:pos="4962"/>
      </w:tabs>
      <w:spacing w:after="100"/>
      <w:ind w:left="220"/>
    </w:pPr>
    <w:rPr>
      <w:rFonts w:ascii="Calibri" w:hAnsi="Calibri" w:cs="Calibri"/>
      <w:noProof/>
    </w:rPr>
  </w:style>
  <w:style w:type="paragraph" w:styleId="EndnoteText">
    <w:name w:val="endnote text"/>
    <w:basedOn w:val="Normal"/>
    <w:link w:val="EndnoteTextChar"/>
    <w:uiPriority w:val="99"/>
    <w:semiHidden/>
    <w:unhideWhenUsed/>
    <w:rsid w:val="00B275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56B"/>
    <w:rPr>
      <w:sz w:val="20"/>
      <w:szCs w:val="20"/>
    </w:rPr>
  </w:style>
  <w:style w:type="character" w:styleId="EndnoteReference">
    <w:name w:val="endnote reference"/>
    <w:basedOn w:val="DefaultParagraphFont"/>
    <w:uiPriority w:val="99"/>
    <w:semiHidden/>
    <w:unhideWhenUsed/>
    <w:rsid w:val="00B2756B"/>
    <w:rPr>
      <w:vertAlign w:val="superscript"/>
    </w:rPr>
  </w:style>
  <w:style w:type="character" w:customStyle="1" w:styleId="UnresolvedMention1">
    <w:name w:val="Unresolved Mention1"/>
    <w:basedOn w:val="DefaultParagraphFont"/>
    <w:uiPriority w:val="99"/>
    <w:semiHidden/>
    <w:unhideWhenUsed/>
    <w:rsid w:val="00055A4F"/>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customStyle="1" w:styleId="Footnote">
    <w:name w:val="Footnote"/>
    <w:basedOn w:val="FootnoteText"/>
    <w:link w:val="FootnoteChar"/>
    <w:qFormat/>
    <w:rsid w:val="00EF3A49"/>
    <w:pPr>
      <w:spacing w:before="0" w:after="120"/>
    </w:pPr>
  </w:style>
  <w:style w:type="paragraph" w:styleId="Quote">
    <w:name w:val="Quote"/>
    <w:basedOn w:val="Normal"/>
    <w:next w:val="Normal"/>
    <w:link w:val="QuoteChar"/>
    <w:uiPriority w:val="29"/>
    <w:qFormat/>
    <w:rsid w:val="007476E9"/>
    <w:pPr>
      <w:spacing w:before="200"/>
      <w:ind w:left="864" w:right="864"/>
      <w:jc w:val="center"/>
    </w:pPr>
    <w:rPr>
      <w:rFonts w:cs="Calibri"/>
      <w:bCs/>
      <w:i/>
      <w:iCs/>
      <w:color w:val="002060"/>
      <w:sz w:val="26"/>
      <w:szCs w:val="26"/>
    </w:rPr>
  </w:style>
  <w:style w:type="character" w:customStyle="1" w:styleId="FootnoteChar">
    <w:name w:val="Footnote Char"/>
    <w:basedOn w:val="FootnoteTextChar"/>
    <w:link w:val="Footnote"/>
    <w:rsid w:val="00EF3A49"/>
    <w:rPr>
      <w:sz w:val="20"/>
      <w:szCs w:val="20"/>
    </w:rPr>
  </w:style>
  <w:style w:type="character" w:customStyle="1" w:styleId="QuoteChar">
    <w:name w:val="Quote Char"/>
    <w:basedOn w:val="DefaultParagraphFont"/>
    <w:link w:val="Quote"/>
    <w:uiPriority w:val="29"/>
    <w:rsid w:val="007476E9"/>
    <w:rPr>
      <w:rFonts w:cs="Calibri"/>
      <w:bCs/>
      <w:i/>
      <w:iCs/>
      <w:color w:val="002060"/>
      <w:sz w:val="26"/>
      <w:szCs w:val="26"/>
    </w:rPr>
  </w:style>
  <w:style w:type="paragraph" w:customStyle="1" w:styleId="Quotee">
    <w:name w:val="Quotee"/>
    <w:basedOn w:val="Quote"/>
    <w:link w:val="QuoteeChar"/>
    <w:qFormat/>
    <w:rsid w:val="007476E9"/>
    <w:pPr>
      <w:ind w:left="426" w:right="107"/>
    </w:pPr>
    <w:rPr>
      <w:i w:val="0"/>
      <w:iCs w:val="0"/>
    </w:rPr>
  </w:style>
  <w:style w:type="paragraph" w:styleId="NormalWeb">
    <w:name w:val="Normal (Web)"/>
    <w:basedOn w:val="Normal"/>
    <w:uiPriority w:val="99"/>
    <w:semiHidden/>
    <w:unhideWhenUsed/>
    <w:rsid w:val="006578C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QuoteeChar">
    <w:name w:val="Quotee Char"/>
    <w:basedOn w:val="QuoteChar"/>
    <w:link w:val="Quotee"/>
    <w:rsid w:val="007476E9"/>
    <w:rPr>
      <w:rFonts w:cs="Calibri"/>
      <w:bCs/>
      <w:i w:val="0"/>
      <w:iCs w:val="0"/>
      <w:color w:val="002060"/>
      <w:sz w:val="26"/>
      <w:szCs w:val="26"/>
    </w:rPr>
  </w:style>
  <w:style w:type="paragraph" w:customStyle="1" w:styleId="Initiatives">
    <w:name w:val="Initiatives"/>
    <w:basedOn w:val="paragraph"/>
    <w:link w:val="InitiativesChar"/>
    <w:qFormat/>
    <w:rsid w:val="00E13ACD"/>
    <w:pPr>
      <w:keepNext/>
      <w:ind w:left="1134"/>
    </w:pPr>
    <w:rPr>
      <w:rFonts w:asciiTheme="minorHAnsi" w:hAnsiTheme="minorHAnsi" w:cs="Calibri"/>
      <w:i/>
      <w:iCs/>
      <w:sz w:val="32"/>
      <w:szCs w:val="32"/>
    </w:rPr>
  </w:style>
  <w:style w:type="paragraph" w:customStyle="1" w:styleId="InitiativesBody">
    <w:name w:val="Initiatives Body"/>
    <w:basedOn w:val="Normal"/>
    <w:link w:val="InitiativesBodyChar"/>
    <w:qFormat/>
    <w:rsid w:val="008A159A"/>
    <w:pPr>
      <w:spacing w:line="240" w:lineRule="auto"/>
      <w:ind w:left="567" w:right="675"/>
    </w:pPr>
    <w:rPr>
      <w:color w:val="305598"/>
      <w:sz w:val="27"/>
      <w:szCs w:val="27"/>
    </w:rPr>
  </w:style>
  <w:style w:type="character" w:customStyle="1" w:styleId="paragraphChar">
    <w:name w:val="paragraph Char"/>
    <w:basedOn w:val="DefaultParagraphFont"/>
    <w:link w:val="paragraph"/>
    <w:rsid w:val="00D6715D"/>
    <w:rPr>
      <w:rFonts w:ascii="Times New Roman" w:eastAsia="Times New Roman" w:hAnsi="Times New Roman" w:cs="Times New Roman"/>
      <w:sz w:val="24"/>
      <w:szCs w:val="24"/>
      <w:lang w:eastAsia="en-AU"/>
    </w:rPr>
  </w:style>
  <w:style w:type="character" w:customStyle="1" w:styleId="InitiativesChar">
    <w:name w:val="Initiatives Char"/>
    <w:basedOn w:val="paragraphChar"/>
    <w:link w:val="Initiatives"/>
    <w:rsid w:val="00E13ACD"/>
    <w:rPr>
      <w:rFonts w:ascii="Times New Roman" w:eastAsia="Times New Roman" w:hAnsi="Times New Roman" w:cs="Calibri"/>
      <w:i/>
      <w:iCs/>
      <w:sz w:val="32"/>
      <w:szCs w:val="32"/>
      <w:lang w:eastAsia="en-AU"/>
    </w:rPr>
  </w:style>
  <w:style w:type="paragraph" w:customStyle="1" w:styleId="Promote">
    <w:name w:val="Promote"/>
    <w:basedOn w:val="paragraph"/>
    <w:link w:val="PromoteChar"/>
    <w:qFormat/>
    <w:rsid w:val="00CC4D10"/>
    <w:rPr>
      <w:rFonts w:asciiTheme="minorHAnsi" w:hAnsiTheme="minorHAnsi" w:cs="Calibri"/>
      <w:b/>
      <w:bCs/>
      <w:i/>
      <w:iCs/>
      <w:sz w:val="32"/>
      <w:szCs w:val="32"/>
    </w:rPr>
  </w:style>
  <w:style w:type="character" w:customStyle="1" w:styleId="InitiativesBodyChar">
    <w:name w:val="Initiatives Body Char"/>
    <w:basedOn w:val="DefaultParagraphFont"/>
    <w:link w:val="InitiativesBody"/>
    <w:rsid w:val="008A159A"/>
    <w:rPr>
      <w:color w:val="305598"/>
      <w:sz w:val="27"/>
      <w:szCs w:val="27"/>
    </w:rPr>
  </w:style>
  <w:style w:type="character" w:customStyle="1" w:styleId="PromoteChar">
    <w:name w:val="Promote Char"/>
    <w:basedOn w:val="paragraphChar"/>
    <w:link w:val="Promote"/>
    <w:rsid w:val="00CC4D10"/>
    <w:rPr>
      <w:rFonts w:ascii="Times New Roman" w:eastAsia="Times New Roman" w:hAnsi="Times New Roman" w:cs="Calibri"/>
      <w:b/>
      <w:bCs/>
      <w:i/>
      <w:iCs/>
      <w:sz w:val="32"/>
      <w:szCs w:val="32"/>
      <w:lang w:eastAsia="en-AU"/>
    </w:rPr>
  </w:style>
  <w:style w:type="paragraph" w:customStyle="1" w:styleId="Bullet-Numbered-Italic">
    <w:name w:val="Bullet-Numbered-Italic"/>
    <w:basedOn w:val="ListParagraph"/>
    <w:link w:val="Bullet-Numbered-ItalicChar"/>
    <w:qFormat/>
    <w:rsid w:val="00DB3BDB"/>
    <w:pPr>
      <w:numPr>
        <w:numId w:val="2"/>
      </w:numPr>
      <w:ind w:left="426" w:hanging="370"/>
    </w:pPr>
    <w:rPr>
      <w:rFonts w:cstheme="minorHAnsi"/>
      <w:i/>
      <w:iCs/>
    </w:rPr>
  </w:style>
  <w:style w:type="paragraph" w:customStyle="1" w:styleId="Bullet-dash">
    <w:name w:val="Bullet-dash"/>
    <w:basedOn w:val="ListParagraph"/>
    <w:link w:val="Bullet-dashChar"/>
    <w:qFormat/>
    <w:rsid w:val="008928F2"/>
    <w:pPr>
      <w:numPr>
        <w:numId w:val="3"/>
      </w:numPr>
      <w:ind w:left="426"/>
    </w:pPr>
  </w:style>
  <w:style w:type="character" w:customStyle="1" w:styleId="ListParagraphChar">
    <w:name w:val="List Paragraph Char"/>
    <w:basedOn w:val="DefaultParagraphFont"/>
    <w:link w:val="ListParagraph"/>
    <w:uiPriority w:val="34"/>
    <w:rsid w:val="00450604"/>
    <w:rPr>
      <w:sz w:val="24"/>
      <w:szCs w:val="24"/>
    </w:rPr>
  </w:style>
  <w:style w:type="character" w:customStyle="1" w:styleId="Bullet-Numbered-ItalicChar">
    <w:name w:val="Bullet-Numbered-Italic Char"/>
    <w:basedOn w:val="ListParagraphChar"/>
    <w:link w:val="Bullet-Numbered-Italic"/>
    <w:rsid w:val="00DB3BDB"/>
    <w:rPr>
      <w:rFonts w:cstheme="minorHAnsi"/>
      <w:i/>
      <w:iCs/>
      <w:sz w:val="25"/>
      <w:szCs w:val="25"/>
    </w:rPr>
  </w:style>
  <w:style w:type="paragraph" w:customStyle="1" w:styleId="block-quote">
    <w:name w:val="block-quote"/>
    <w:basedOn w:val="paragraph"/>
    <w:link w:val="block-quoteChar"/>
    <w:qFormat/>
    <w:rsid w:val="00635705"/>
    <w:pPr>
      <w:spacing w:before="0" w:beforeAutospacing="0" w:after="60" w:afterAutospacing="0"/>
    </w:pPr>
    <w:rPr>
      <w:rFonts w:asciiTheme="minorHAnsi" w:hAnsiTheme="minorHAnsi" w:cs="Calibri"/>
      <w:i/>
      <w:iCs/>
      <w:sz w:val="28"/>
      <w:szCs w:val="28"/>
    </w:rPr>
  </w:style>
  <w:style w:type="character" w:customStyle="1" w:styleId="Bullet-dashChar">
    <w:name w:val="Bullet-dash Char"/>
    <w:basedOn w:val="ListParagraphChar"/>
    <w:link w:val="Bullet-dash"/>
    <w:rsid w:val="008928F2"/>
    <w:rPr>
      <w:sz w:val="25"/>
      <w:szCs w:val="25"/>
    </w:rPr>
  </w:style>
  <w:style w:type="character" w:customStyle="1" w:styleId="Heading3Char">
    <w:name w:val="Heading 3 Char"/>
    <w:basedOn w:val="DefaultParagraphFont"/>
    <w:link w:val="Heading3"/>
    <w:uiPriority w:val="9"/>
    <w:rsid w:val="00B5728A"/>
    <w:rPr>
      <w:rFonts w:ascii="Calibri" w:eastAsiaTheme="majorEastAsia" w:hAnsi="Calibri" w:cs="Calibri"/>
      <w:b/>
      <w:bCs/>
      <w:color w:val="1F3763" w:themeColor="accent1" w:themeShade="7F"/>
      <w:sz w:val="32"/>
      <w:szCs w:val="32"/>
    </w:rPr>
  </w:style>
  <w:style w:type="character" w:customStyle="1" w:styleId="block-quoteChar">
    <w:name w:val="block-quote Char"/>
    <w:basedOn w:val="paragraphChar"/>
    <w:link w:val="block-quote"/>
    <w:rsid w:val="00635705"/>
    <w:rPr>
      <w:rFonts w:ascii="Times New Roman" w:eastAsia="Times New Roman" w:hAnsi="Times New Roman" w:cs="Calibri"/>
      <w:i/>
      <w:iCs/>
      <w:sz w:val="28"/>
      <w:szCs w:val="28"/>
      <w:lang w:eastAsia="en-AU"/>
    </w:rPr>
  </w:style>
  <w:style w:type="paragraph" w:customStyle="1" w:styleId="Bullet-Numbered">
    <w:name w:val="Bullet-Numbered"/>
    <w:basedOn w:val="ListParagraph"/>
    <w:link w:val="Bullet-NumberedChar"/>
    <w:qFormat/>
    <w:rsid w:val="00635705"/>
    <w:pPr>
      <w:numPr>
        <w:numId w:val="5"/>
      </w:numPr>
      <w:spacing w:after="0"/>
      <w:contextualSpacing w:val="0"/>
    </w:pPr>
    <w:rPr>
      <w:rFonts w:cs="Calibri"/>
    </w:rPr>
  </w:style>
  <w:style w:type="paragraph" w:customStyle="1" w:styleId="Bullet-letter-indent">
    <w:name w:val="Bullet-letter-indent"/>
    <w:basedOn w:val="ListParagraph"/>
    <w:link w:val="Bullet-letter-indentChar"/>
    <w:qFormat/>
    <w:rsid w:val="00635705"/>
    <w:pPr>
      <w:numPr>
        <w:numId w:val="6"/>
      </w:numPr>
      <w:spacing w:before="0" w:after="0"/>
      <w:ind w:left="1434" w:hanging="357"/>
      <w:contextualSpacing w:val="0"/>
    </w:pPr>
    <w:rPr>
      <w:rFonts w:cs="Calibri"/>
    </w:rPr>
  </w:style>
  <w:style w:type="character" w:customStyle="1" w:styleId="Bullet-NumberedChar">
    <w:name w:val="Bullet-Numbered Char"/>
    <w:basedOn w:val="ListParagraphChar"/>
    <w:link w:val="Bullet-Numbered"/>
    <w:rsid w:val="00635705"/>
    <w:rPr>
      <w:rFonts w:cs="Calibri"/>
      <w:sz w:val="24"/>
      <w:szCs w:val="24"/>
    </w:rPr>
  </w:style>
  <w:style w:type="character" w:customStyle="1" w:styleId="Heading4Char">
    <w:name w:val="Heading 4 Char"/>
    <w:basedOn w:val="DefaultParagraphFont"/>
    <w:link w:val="Heading4"/>
    <w:uiPriority w:val="9"/>
    <w:rsid w:val="00DE3D32"/>
    <w:rPr>
      <w:rFonts w:ascii="Arial" w:eastAsiaTheme="majorEastAsia" w:hAnsi="Arial" w:cs="Arial"/>
      <w:b/>
      <w:bCs/>
      <w:color w:val="595959" w:themeColor="text1" w:themeTint="A6"/>
      <w:sz w:val="25"/>
      <w:szCs w:val="25"/>
    </w:rPr>
  </w:style>
  <w:style w:type="character" w:customStyle="1" w:styleId="Bullet-letter-indentChar">
    <w:name w:val="Bullet-letter-indent Char"/>
    <w:basedOn w:val="ListParagraphChar"/>
    <w:link w:val="Bullet-letter-indent"/>
    <w:rsid w:val="00635705"/>
    <w:rPr>
      <w:rFonts w:cs="Calibri"/>
      <w:sz w:val="24"/>
      <w:szCs w:val="24"/>
    </w:rPr>
  </w:style>
  <w:style w:type="paragraph" w:styleId="TOC3">
    <w:name w:val="toc 3"/>
    <w:basedOn w:val="Normal"/>
    <w:next w:val="Normal"/>
    <w:autoRedefine/>
    <w:uiPriority w:val="39"/>
    <w:unhideWhenUsed/>
    <w:rsid w:val="00D82F62"/>
    <w:pPr>
      <w:tabs>
        <w:tab w:val="right" w:pos="4962"/>
      </w:tabs>
      <w:spacing w:after="100"/>
      <w:ind w:left="500"/>
    </w:pPr>
    <w:rPr>
      <w:noProof/>
    </w:rPr>
  </w:style>
  <w:style w:type="paragraph" w:styleId="Subtitle">
    <w:name w:val="Subtitle"/>
    <w:basedOn w:val="Normal"/>
    <w:next w:val="Normal"/>
    <w:link w:val="SubtitleChar"/>
    <w:uiPriority w:val="11"/>
    <w:qFormat/>
    <w:rsid w:val="004E784C"/>
    <w:pPr>
      <w:numPr>
        <w:ilvl w:val="1"/>
      </w:numPr>
      <w:spacing w:before="200" w:after="120"/>
    </w:pPr>
    <w:rPr>
      <w:rFonts w:eastAsiaTheme="minorEastAsia"/>
      <w:b/>
      <w:bCs/>
      <w:color w:val="5A5A5A" w:themeColor="text1" w:themeTint="A5"/>
      <w:spacing w:val="15"/>
      <w:sz w:val="32"/>
      <w:szCs w:val="32"/>
    </w:rPr>
  </w:style>
  <w:style w:type="character" w:customStyle="1" w:styleId="SubtitleChar">
    <w:name w:val="Subtitle Char"/>
    <w:basedOn w:val="DefaultParagraphFont"/>
    <w:link w:val="Subtitle"/>
    <w:uiPriority w:val="11"/>
    <w:rsid w:val="004E784C"/>
    <w:rPr>
      <w:rFonts w:eastAsiaTheme="minorEastAsia"/>
      <w:b/>
      <w:bCs/>
      <w:color w:val="5A5A5A" w:themeColor="text1" w:themeTint="A5"/>
      <w:spacing w:val="15"/>
      <w:sz w:val="32"/>
      <w:szCs w:val="32"/>
    </w:rPr>
  </w:style>
  <w:style w:type="paragraph" w:customStyle="1" w:styleId="Bullet-disc">
    <w:name w:val="Bullet-disc"/>
    <w:basedOn w:val="Bullet-dash"/>
    <w:link w:val="Bullet-discChar"/>
    <w:qFormat/>
    <w:rsid w:val="00C3767A"/>
    <w:pPr>
      <w:numPr>
        <w:numId w:val="19"/>
      </w:numPr>
      <w:spacing w:before="120" w:after="120"/>
      <w:ind w:left="284" w:hanging="284"/>
      <w:contextualSpacing w:val="0"/>
    </w:pPr>
  </w:style>
  <w:style w:type="paragraph" w:customStyle="1" w:styleId="Shared-Value">
    <w:name w:val="Shared-Value"/>
    <w:basedOn w:val="Normal"/>
    <w:link w:val="Shared-ValueChar"/>
    <w:qFormat/>
    <w:rsid w:val="00AB6992"/>
    <w:pPr>
      <w:spacing w:before="360" w:after="360"/>
    </w:pPr>
    <w:rPr>
      <w:rFonts w:cs="Calibri"/>
      <w:i/>
      <w:iCs/>
    </w:rPr>
  </w:style>
  <w:style w:type="character" w:customStyle="1" w:styleId="Bullet-discChar">
    <w:name w:val="Bullet-disc Char"/>
    <w:basedOn w:val="Bullet-dashChar"/>
    <w:link w:val="Bullet-disc"/>
    <w:rsid w:val="00C3767A"/>
    <w:rPr>
      <w:sz w:val="25"/>
      <w:szCs w:val="25"/>
    </w:rPr>
  </w:style>
  <w:style w:type="paragraph" w:customStyle="1" w:styleId="Table-Header">
    <w:name w:val="Table-Header"/>
    <w:basedOn w:val="Normal"/>
    <w:link w:val="Table-HeaderChar"/>
    <w:qFormat/>
    <w:rsid w:val="008928F2"/>
    <w:pPr>
      <w:spacing w:before="80" w:after="80"/>
    </w:pPr>
    <w:rPr>
      <w:rFonts w:ascii="Arial Black" w:hAnsi="Arial Black"/>
      <w:sz w:val="24"/>
      <w:szCs w:val="24"/>
    </w:rPr>
  </w:style>
  <w:style w:type="character" w:customStyle="1" w:styleId="Shared-ValueChar">
    <w:name w:val="Shared-Value Char"/>
    <w:basedOn w:val="DefaultParagraphFont"/>
    <w:link w:val="Shared-Value"/>
    <w:rsid w:val="00AB6992"/>
    <w:rPr>
      <w:rFonts w:cs="Calibri"/>
      <w:i/>
      <w:iCs/>
      <w:sz w:val="25"/>
      <w:szCs w:val="25"/>
    </w:rPr>
  </w:style>
  <w:style w:type="paragraph" w:customStyle="1" w:styleId="Table-Text">
    <w:name w:val="Table-Text"/>
    <w:basedOn w:val="Normal"/>
    <w:qFormat/>
    <w:rsid w:val="008928F2"/>
    <w:pPr>
      <w:spacing w:before="80" w:after="80"/>
    </w:pPr>
  </w:style>
  <w:style w:type="character" w:customStyle="1" w:styleId="Table-HeaderChar">
    <w:name w:val="Table-Header Char"/>
    <w:basedOn w:val="DefaultParagraphFont"/>
    <w:link w:val="Table-Header"/>
    <w:rsid w:val="008928F2"/>
    <w:rPr>
      <w:rFonts w:ascii="Arial Black" w:hAnsi="Arial Black"/>
      <w:sz w:val="24"/>
      <w:szCs w:val="24"/>
    </w:rPr>
  </w:style>
  <w:style w:type="paragraph" w:customStyle="1" w:styleId="Bullet-Minister">
    <w:name w:val="Bullet-Minister"/>
    <w:basedOn w:val="Bullet-disc"/>
    <w:link w:val="Bullet-MinisterChar"/>
    <w:qFormat/>
    <w:rsid w:val="008A46F0"/>
    <w:pPr>
      <w:spacing w:before="100" w:after="20" w:line="240" w:lineRule="auto"/>
    </w:pPr>
  </w:style>
  <w:style w:type="character" w:customStyle="1" w:styleId="Bullet-MinisterChar">
    <w:name w:val="Bullet-Minister Char"/>
    <w:basedOn w:val="Bullet-discChar"/>
    <w:link w:val="Bullet-Minister"/>
    <w:rsid w:val="008A46F0"/>
    <w:rPr>
      <w:sz w:val="25"/>
      <w:szCs w:val="25"/>
    </w:rPr>
  </w:style>
  <w:style w:type="paragraph" w:styleId="Revision">
    <w:name w:val="Revision"/>
    <w:hidden/>
    <w:uiPriority w:val="99"/>
    <w:semiHidden/>
    <w:rsid w:val="00832AA5"/>
    <w:pPr>
      <w:spacing w:after="0" w:line="240" w:lineRule="auto"/>
    </w:pPr>
    <w:rPr>
      <w:sz w:val="25"/>
      <w:szCs w:val="25"/>
    </w:rPr>
  </w:style>
  <w:style w:type="paragraph" w:customStyle="1" w:styleId="Default">
    <w:name w:val="Default"/>
    <w:rsid w:val="00D00B7E"/>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3">
    <w:name w:val="Pa3"/>
    <w:basedOn w:val="Default"/>
    <w:next w:val="Default"/>
    <w:uiPriority w:val="99"/>
    <w:rsid w:val="00D00B7E"/>
    <w:pPr>
      <w:spacing w:line="241" w:lineRule="atLeast"/>
    </w:pPr>
    <w:rPr>
      <w:rFonts w:cstheme="minorBidi"/>
      <w:color w:val="auto"/>
    </w:rPr>
  </w:style>
  <w:style w:type="paragraph" w:customStyle="1" w:styleId="Bullet-Table">
    <w:name w:val="Bullet-Table"/>
    <w:basedOn w:val="Table-Text"/>
    <w:qFormat/>
    <w:rsid w:val="00A24F9E"/>
    <w:pPr>
      <w:numPr>
        <w:numId w:val="32"/>
      </w:numPr>
      <w:tabs>
        <w:tab w:val="left" w:pos="221"/>
      </w:tabs>
      <w:ind w:left="235" w:hanging="21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4029">
      <w:bodyDiv w:val="1"/>
      <w:marLeft w:val="0"/>
      <w:marRight w:val="0"/>
      <w:marTop w:val="0"/>
      <w:marBottom w:val="0"/>
      <w:divBdr>
        <w:top w:val="none" w:sz="0" w:space="0" w:color="auto"/>
        <w:left w:val="none" w:sz="0" w:space="0" w:color="auto"/>
        <w:bottom w:val="none" w:sz="0" w:space="0" w:color="auto"/>
        <w:right w:val="none" w:sz="0" w:space="0" w:color="auto"/>
      </w:divBdr>
      <w:divsChild>
        <w:div w:id="233049092">
          <w:marLeft w:val="0"/>
          <w:marRight w:val="0"/>
          <w:marTop w:val="0"/>
          <w:marBottom w:val="0"/>
          <w:divBdr>
            <w:top w:val="none" w:sz="0" w:space="0" w:color="auto"/>
            <w:left w:val="none" w:sz="0" w:space="0" w:color="auto"/>
            <w:bottom w:val="none" w:sz="0" w:space="0" w:color="auto"/>
            <w:right w:val="none" w:sz="0" w:space="0" w:color="auto"/>
          </w:divBdr>
        </w:div>
        <w:div w:id="405491679">
          <w:marLeft w:val="0"/>
          <w:marRight w:val="0"/>
          <w:marTop w:val="0"/>
          <w:marBottom w:val="0"/>
          <w:divBdr>
            <w:top w:val="none" w:sz="0" w:space="0" w:color="auto"/>
            <w:left w:val="none" w:sz="0" w:space="0" w:color="auto"/>
            <w:bottom w:val="none" w:sz="0" w:space="0" w:color="auto"/>
            <w:right w:val="none" w:sz="0" w:space="0" w:color="auto"/>
          </w:divBdr>
        </w:div>
        <w:div w:id="670597073">
          <w:marLeft w:val="0"/>
          <w:marRight w:val="0"/>
          <w:marTop w:val="0"/>
          <w:marBottom w:val="0"/>
          <w:divBdr>
            <w:top w:val="none" w:sz="0" w:space="0" w:color="auto"/>
            <w:left w:val="none" w:sz="0" w:space="0" w:color="auto"/>
            <w:bottom w:val="none" w:sz="0" w:space="0" w:color="auto"/>
            <w:right w:val="none" w:sz="0" w:space="0" w:color="auto"/>
          </w:divBdr>
        </w:div>
        <w:div w:id="1138648069">
          <w:marLeft w:val="0"/>
          <w:marRight w:val="0"/>
          <w:marTop w:val="0"/>
          <w:marBottom w:val="0"/>
          <w:divBdr>
            <w:top w:val="none" w:sz="0" w:space="0" w:color="auto"/>
            <w:left w:val="none" w:sz="0" w:space="0" w:color="auto"/>
            <w:bottom w:val="none" w:sz="0" w:space="0" w:color="auto"/>
            <w:right w:val="none" w:sz="0" w:space="0" w:color="auto"/>
          </w:divBdr>
        </w:div>
        <w:div w:id="1139953452">
          <w:marLeft w:val="0"/>
          <w:marRight w:val="0"/>
          <w:marTop w:val="0"/>
          <w:marBottom w:val="0"/>
          <w:divBdr>
            <w:top w:val="none" w:sz="0" w:space="0" w:color="auto"/>
            <w:left w:val="none" w:sz="0" w:space="0" w:color="auto"/>
            <w:bottom w:val="none" w:sz="0" w:space="0" w:color="auto"/>
            <w:right w:val="none" w:sz="0" w:space="0" w:color="auto"/>
          </w:divBdr>
        </w:div>
        <w:div w:id="1177190171">
          <w:marLeft w:val="0"/>
          <w:marRight w:val="0"/>
          <w:marTop w:val="0"/>
          <w:marBottom w:val="0"/>
          <w:divBdr>
            <w:top w:val="none" w:sz="0" w:space="0" w:color="auto"/>
            <w:left w:val="none" w:sz="0" w:space="0" w:color="auto"/>
            <w:bottom w:val="none" w:sz="0" w:space="0" w:color="auto"/>
            <w:right w:val="none" w:sz="0" w:space="0" w:color="auto"/>
          </w:divBdr>
        </w:div>
        <w:div w:id="1407190246">
          <w:marLeft w:val="0"/>
          <w:marRight w:val="0"/>
          <w:marTop w:val="0"/>
          <w:marBottom w:val="0"/>
          <w:divBdr>
            <w:top w:val="none" w:sz="0" w:space="0" w:color="auto"/>
            <w:left w:val="none" w:sz="0" w:space="0" w:color="auto"/>
            <w:bottom w:val="none" w:sz="0" w:space="0" w:color="auto"/>
            <w:right w:val="none" w:sz="0" w:space="0" w:color="auto"/>
          </w:divBdr>
        </w:div>
        <w:div w:id="1730837217">
          <w:marLeft w:val="0"/>
          <w:marRight w:val="0"/>
          <w:marTop w:val="0"/>
          <w:marBottom w:val="0"/>
          <w:divBdr>
            <w:top w:val="none" w:sz="0" w:space="0" w:color="auto"/>
            <w:left w:val="none" w:sz="0" w:space="0" w:color="auto"/>
            <w:bottom w:val="none" w:sz="0" w:space="0" w:color="auto"/>
            <w:right w:val="none" w:sz="0" w:space="0" w:color="auto"/>
          </w:divBdr>
        </w:div>
        <w:div w:id="1783573273">
          <w:marLeft w:val="0"/>
          <w:marRight w:val="0"/>
          <w:marTop w:val="0"/>
          <w:marBottom w:val="0"/>
          <w:divBdr>
            <w:top w:val="none" w:sz="0" w:space="0" w:color="auto"/>
            <w:left w:val="none" w:sz="0" w:space="0" w:color="auto"/>
            <w:bottom w:val="none" w:sz="0" w:space="0" w:color="auto"/>
            <w:right w:val="none" w:sz="0" w:space="0" w:color="auto"/>
          </w:divBdr>
        </w:div>
      </w:divsChild>
    </w:div>
    <w:div w:id="72364733">
      <w:bodyDiv w:val="1"/>
      <w:marLeft w:val="0"/>
      <w:marRight w:val="0"/>
      <w:marTop w:val="0"/>
      <w:marBottom w:val="0"/>
      <w:divBdr>
        <w:top w:val="none" w:sz="0" w:space="0" w:color="auto"/>
        <w:left w:val="none" w:sz="0" w:space="0" w:color="auto"/>
        <w:bottom w:val="none" w:sz="0" w:space="0" w:color="auto"/>
        <w:right w:val="none" w:sz="0" w:space="0" w:color="auto"/>
      </w:divBdr>
      <w:divsChild>
        <w:div w:id="266668011">
          <w:marLeft w:val="0"/>
          <w:marRight w:val="0"/>
          <w:marTop w:val="0"/>
          <w:marBottom w:val="0"/>
          <w:divBdr>
            <w:top w:val="none" w:sz="0" w:space="0" w:color="auto"/>
            <w:left w:val="none" w:sz="0" w:space="0" w:color="auto"/>
            <w:bottom w:val="none" w:sz="0" w:space="0" w:color="auto"/>
            <w:right w:val="none" w:sz="0" w:space="0" w:color="auto"/>
          </w:divBdr>
        </w:div>
        <w:div w:id="387071520">
          <w:marLeft w:val="0"/>
          <w:marRight w:val="0"/>
          <w:marTop w:val="0"/>
          <w:marBottom w:val="0"/>
          <w:divBdr>
            <w:top w:val="none" w:sz="0" w:space="0" w:color="auto"/>
            <w:left w:val="none" w:sz="0" w:space="0" w:color="auto"/>
            <w:bottom w:val="none" w:sz="0" w:space="0" w:color="auto"/>
            <w:right w:val="none" w:sz="0" w:space="0" w:color="auto"/>
          </w:divBdr>
        </w:div>
        <w:div w:id="415396613">
          <w:marLeft w:val="0"/>
          <w:marRight w:val="0"/>
          <w:marTop w:val="0"/>
          <w:marBottom w:val="0"/>
          <w:divBdr>
            <w:top w:val="none" w:sz="0" w:space="0" w:color="auto"/>
            <w:left w:val="none" w:sz="0" w:space="0" w:color="auto"/>
            <w:bottom w:val="none" w:sz="0" w:space="0" w:color="auto"/>
            <w:right w:val="none" w:sz="0" w:space="0" w:color="auto"/>
          </w:divBdr>
        </w:div>
        <w:div w:id="448817548">
          <w:marLeft w:val="0"/>
          <w:marRight w:val="0"/>
          <w:marTop w:val="0"/>
          <w:marBottom w:val="0"/>
          <w:divBdr>
            <w:top w:val="none" w:sz="0" w:space="0" w:color="auto"/>
            <w:left w:val="none" w:sz="0" w:space="0" w:color="auto"/>
            <w:bottom w:val="none" w:sz="0" w:space="0" w:color="auto"/>
            <w:right w:val="none" w:sz="0" w:space="0" w:color="auto"/>
          </w:divBdr>
        </w:div>
        <w:div w:id="483277326">
          <w:marLeft w:val="0"/>
          <w:marRight w:val="0"/>
          <w:marTop w:val="0"/>
          <w:marBottom w:val="0"/>
          <w:divBdr>
            <w:top w:val="none" w:sz="0" w:space="0" w:color="auto"/>
            <w:left w:val="none" w:sz="0" w:space="0" w:color="auto"/>
            <w:bottom w:val="none" w:sz="0" w:space="0" w:color="auto"/>
            <w:right w:val="none" w:sz="0" w:space="0" w:color="auto"/>
          </w:divBdr>
        </w:div>
        <w:div w:id="562637899">
          <w:marLeft w:val="0"/>
          <w:marRight w:val="0"/>
          <w:marTop w:val="0"/>
          <w:marBottom w:val="0"/>
          <w:divBdr>
            <w:top w:val="none" w:sz="0" w:space="0" w:color="auto"/>
            <w:left w:val="none" w:sz="0" w:space="0" w:color="auto"/>
            <w:bottom w:val="none" w:sz="0" w:space="0" w:color="auto"/>
            <w:right w:val="none" w:sz="0" w:space="0" w:color="auto"/>
          </w:divBdr>
        </w:div>
        <w:div w:id="573124435">
          <w:marLeft w:val="0"/>
          <w:marRight w:val="0"/>
          <w:marTop w:val="0"/>
          <w:marBottom w:val="0"/>
          <w:divBdr>
            <w:top w:val="none" w:sz="0" w:space="0" w:color="auto"/>
            <w:left w:val="none" w:sz="0" w:space="0" w:color="auto"/>
            <w:bottom w:val="none" w:sz="0" w:space="0" w:color="auto"/>
            <w:right w:val="none" w:sz="0" w:space="0" w:color="auto"/>
          </w:divBdr>
        </w:div>
        <w:div w:id="669482148">
          <w:marLeft w:val="0"/>
          <w:marRight w:val="0"/>
          <w:marTop w:val="0"/>
          <w:marBottom w:val="0"/>
          <w:divBdr>
            <w:top w:val="none" w:sz="0" w:space="0" w:color="auto"/>
            <w:left w:val="none" w:sz="0" w:space="0" w:color="auto"/>
            <w:bottom w:val="none" w:sz="0" w:space="0" w:color="auto"/>
            <w:right w:val="none" w:sz="0" w:space="0" w:color="auto"/>
          </w:divBdr>
        </w:div>
        <w:div w:id="695231993">
          <w:marLeft w:val="0"/>
          <w:marRight w:val="0"/>
          <w:marTop w:val="0"/>
          <w:marBottom w:val="0"/>
          <w:divBdr>
            <w:top w:val="none" w:sz="0" w:space="0" w:color="auto"/>
            <w:left w:val="none" w:sz="0" w:space="0" w:color="auto"/>
            <w:bottom w:val="none" w:sz="0" w:space="0" w:color="auto"/>
            <w:right w:val="none" w:sz="0" w:space="0" w:color="auto"/>
          </w:divBdr>
        </w:div>
        <w:div w:id="879434417">
          <w:marLeft w:val="0"/>
          <w:marRight w:val="0"/>
          <w:marTop w:val="0"/>
          <w:marBottom w:val="0"/>
          <w:divBdr>
            <w:top w:val="none" w:sz="0" w:space="0" w:color="auto"/>
            <w:left w:val="none" w:sz="0" w:space="0" w:color="auto"/>
            <w:bottom w:val="none" w:sz="0" w:space="0" w:color="auto"/>
            <w:right w:val="none" w:sz="0" w:space="0" w:color="auto"/>
          </w:divBdr>
        </w:div>
        <w:div w:id="925726849">
          <w:marLeft w:val="0"/>
          <w:marRight w:val="0"/>
          <w:marTop w:val="0"/>
          <w:marBottom w:val="0"/>
          <w:divBdr>
            <w:top w:val="none" w:sz="0" w:space="0" w:color="auto"/>
            <w:left w:val="none" w:sz="0" w:space="0" w:color="auto"/>
            <w:bottom w:val="none" w:sz="0" w:space="0" w:color="auto"/>
            <w:right w:val="none" w:sz="0" w:space="0" w:color="auto"/>
          </w:divBdr>
        </w:div>
        <w:div w:id="946278210">
          <w:marLeft w:val="0"/>
          <w:marRight w:val="0"/>
          <w:marTop w:val="0"/>
          <w:marBottom w:val="0"/>
          <w:divBdr>
            <w:top w:val="none" w:sz="0" w:space="0" w:color="auto"/>
            <w:left w:val="none" w:sz="0" w:space="0" w:color="auto"/>
            <w:bottom w:val="none" w:sz="0" w:space="0" w:color="auto"/>
            <w:right w:val="none" w:sz="0" w:space="0" w:color="auto"/>
          </w:divBdr>
        </w:div>
        <w:div w:id="994839130">
          <w:marLeft w:val="0"/>
          <w:marRight w:val="0"/>
          <w:marTop w:val="0"/>
          <w:marBottom w:val="0"/>
          <w:divBdr>
            <w:top w:val="none" w:sz="0" w:space="0" w:color="auto"/>
            <w:left w:val="none" w:sz="0" w:space="0" w:color="auto"/>
            <w:bottom w:val="none" w:sz="0" w:space="0" w:color="auto"/>
            <w:right w:val="none" w:sz="0" w:space="0" w:color="auto"/>
          </w:divBdr>
          <w:divsChild>
            <w:div w:id="847057167">
              <w:marLeft w:val="0"/>
              <w:marRight w:val="0"/>
              <w:marTop w:val="0"/>
              <w:marBottom w:val="0"/>
              <w:divBdr>
                <w:top w:val="none" w:sz="0" w:space="0" w:color="auto"/>
                <w:left w:val="none" w:sz="0" w:space="0" w:color="auto"/>
                <w:bottom w:val="none" w:sz="0" w:space="0" w:color="auto"/>
                <w:right w:val="none" w:sz="0" w:space="0" w:color="auto"/>
              </w:divBdr>
            </w:div>
            <w:div w:id="1205560675">
              <w:marLeft w:val="0"/>
              <w:marRight w:val="0"/>
              <w:marTop w:val="0"/>
              <w:marBottom w:val="0"/>
              <w:divBdr>
                <w:top w:val="none" w:sz="0" w:space="0" w:color="auto"/>
                <w:left w:val="none" w:sz="0" w:space="0" w:color="auto"/>
                <w:bottom w:val="none" w:sz="0" w:space="0" w:color="auto"/>
                <w:right w:val="none" w:sz="0" w:space="0" w:color="auto"/>
              </w:divBdr>
            </w:div>
            <w:div w:id="1648119962">
              <w:marLeft w:val="0"/>
              <w:marRight w:val="0"/>
              <w:marTop w:val="0"/>
              <w:marBottom w:val="0"/>
              <w:divBdr>
                <w:top w:val="none" w:sz="0" w:space="0" w:color="auto"/>
                <w:left w:val="none" w:sz="0" w:space="0" w:color="auto"/>
                <w:bottom w:val="none" w:sz="0" w:space="0" w:color="auto"/>
                <w:right w:val="none" w:sz="0" w:space="0" w:color="auto"/>
              </w:divBdr>
            </w:div>
          </w:divsChild>
        </w:div>
        <w:div w:id="1021083455">
          <w:marLeft w:val="0"/>
          <w:marRight w:val="0"/>
          <w:marTop w:val="0"/>
          <w:marBottom w:val="0"/>
          <w:divBdr>
            <w:top w:val="none" w:sz="0" w:space="0" w:color="auto"/>
            <w:left w:val="none" w:sz="0" w:space="0" w:color="auto"/>
            <w:bottom w:val="none" w:sz="0" w:space="0" w:color="auto"/>
            <w:right w:val="none" w:sz="0" w:space="0" w:color="auto"/>
          </w:divBdr>
        </w:div>
        <w:div w:id="1087730779">
          <w:marLeft w:val="0"/>
          <w:marRight w:val="0"/>
          <w:marTop w:val="0"/>
          <w:marBottom w:val="0"/>
          <w:divBdr>
            <w:top w:val="none" w:sz="0" w:space="0" w:color="auto"/>
            <w:left w:val="none" w:sz="0" w:space="0" w:color="auto"/>
            <w:bottom w:val="none" w:sz="0" w:space="0" w:color="auto"/>
            <w:right w:val="none" w:sz="0" w:space="0" w:color="auto"/>
          </w:divBdr>
        </w:div>
        <w:div w:id="1092818901">
          <w:marLeft w:val="0"/>
          <w:marRight w:val="0"/>
          <w:marTop w:val="0"/>
          <w:marBottom w:val="0"/>
          <w:divBdr>
            <w:top w:val="none" w:sz="0" w:space="0" w:color="auto"/>
            <w:left w:val="none" w:sz="0" w:space="0" w:color="auto"/>
            <w:bottom w:val="none" w:sz="0" w:space="0" w:color="auto"/>
            <w:right w:val="none" w:sz="0" w:space="0" w:color="auto"/>
          </w:divBdr>
        </w:div>
        <w:div w:id="1103888756">
          <w:marLeft w:val="0"/>
          <w:marRight w:val="0"/>
          <w:marTop w:val="0"/>
          <w:marBottom w:val="0"/>
          <w:divBdr>
            <w:top w:val="none" w:sz="0" w:space="0" w:color="auto"/>
            <w:left w:val="none" w:sz="0" w:space="0" w:color="auto"/>
            <w:bottom w:val="none" w:sz="0" w:space="0" w:color="auto"/>
            <w:right w:val="none" w:sz="0" w:space="0" w:color="auto"/>
          </w:divBdr>
        </w:div>
        <w:div w:id="1292251728">
          <w:marLeft w:val="0"/>
          <w:marRight w:val="0"/>
          <w:marTop w:val="0"/>
          <w:marBottom w:val="0"/>
          <w:divBdr>
            <w:top w:val="none" w:sz="0" w:space="0" w:color="auto"/>
            <w:left w:val="none" w:sz="0" w:space="0" w:color="auto"/>
            <w:bottom w:val="none" w:sz="0" w:space="0" w:color="auto"/>
            <w:right w:val="none" w:sz="0" w:space="0" w:color="auto"/>
          </w:divBdr>
        </w:div>
        <w:div w:id="1321612796">
          <w:marLeft w:val="0"/>
          <w:marRight w:val="0"/>
          <w:marTop w:val="0"/>
          <w:marBottom w:val="0"/>
          <w:divBdr>
            <w:top w:val="none" w:sz="0" w:space="0" w:color="auto"/>
            <w:left w:val="none" w:sz="0" w:space="0" w:color="auto"/>
            <w:bottom w:val="none" w:sz="0" w:space="0" w:color="auto"/>
            <w:right w:val="none" w:sz="0" w:space="0" w:color="auto"/>
          </w:divBdr>
        </w:div>
        <w:div w:id="1425615203">
          <w:marLeft w:val="0"/>
          <w:marRight w:val="0"/>
          <w:marTop w:val="0"/>
          <w:marBottom w:val="0"/>
          <w:divBdr>
            <w:top w:val="none" w:sz="0" w:space="0" w:color="auto"/>
            <w:left w:val="none" w:sz="0" w:space="0" w:color="auto"/>
            <w:bottom w:val="none" w:sz="0" w:space="0" w:color="auto"/>
            <w:right w:val="none" w:sz="0" w:space="0" w:color="auto"/>
          </w:divBdr>
        </w:div>
        <w:div w:id="1484543541">
          <w:marLeft w:val="0"/>
          <w:marRight w:val="0"/>
          <w:marTop w:val="0"/>
          <w:marBottom w:val="0"/>
          <w:divBdr>
            <w:top w:val="none" w:sz="0" w:space="0" w:color="auto"/>
            <w:left w:val="none" w:sz="0" w:space="0" w:color="auto"/>
            <w:bottom w:val="none" w:sz="0" w:space="0" w:color="auto"/>
            <w:right w:val="none" w:sz="0" w:space="0" w:color="auto"/>
          </w:divBdr>
          <w:divsChild>
            <w:div w:id="69818830">
              <w:marLeft w:val="0"/>
              <w:marRight w:val="0"/>
              <w:marTop w:val="0"/>
              <w:marBottom w:val="0"/>
              <w:divBdr>
                <w:top w:val="none" w:sz="0" w:space="0" w:color="auto"/>
                <w:left w:val="none" w:sz="0" w:space="0" w:color="auto"/>
                <w:bottom w:val="none" w:sz="0" w:space="0" w:color="auto"/>
                <w:right w:val="none" w:sz="0" w:space="0" w:color="auto"/>
              </w:divBdr>
            </w:div>
            <w:div w:id="1326788605">
              <w:marLeft w:val="0"/>
              <w:marRight w:val="0"/>
              <w:marTop w:val="0"/>
              <w:marBottom w:val="0"/>
              <w:divBdr>
                <w:top w:val="none" w:sz="0" w:space="0" w:color="auto"/>
                <w:left w:val="none" w:sz="0" w:space="0" w:color="auto"/>
                <w:bottom w:val="none" w:sz="0" w:space="0" w:color="auto"/>
                <w:right w:val="none" w:sz="0" w:space="0" w:color="auto"/>
              </w:divBdr>
            </w:div>
            <w:div w:id="1471358374">
              <w:marLeft w:val="0"/>
              <w:marRight w:val="0"/>
              <w:marTop w:val="0"/>
              <w:marBottom w:val="0"/>
              <w:divBdr>
                <w:top w:val="none" w:sz="0" w:space="0" w:color="auto"/>
                <w:left w:val="none" w:sz="0" w:space="0" w:color="auto"/>
                <w:bottom w:val="none" w:sz="0" w:space="0" w:color="auto"/>
                <w:right w:val="none" w:sz="0" w:space="0" w:color="auto"/>
              </w:divBdr>
            </w:div>
          </w:divsChild>
        </w:div>
        <w:div w:id="1498035054">
          <w:marLeft w:val="0"/>
          <w:marRight w:val="0"/>
          <w:marTop w:val="0"/>
          <w:marBottom w:val="0"/>
          <w:divBdr>
            <w:top w:val="none" w:sz="0" w:space="0" w:color="auto"/>
            <w:left w:val="none" w:sz="0" w:space="0" w:color="auto"/>
            <w:bottom w:val="none" w:sz="0" w:space="0" w:color="auto"/>
            <w:right w:val="none" w:sz="0" w:space="0" w:color="auto"/>
          </w:divBdr>
        </w:div>
        <w:div w:id="1521049073">
          <w:marLeft w:val="0"/>
          <w:marRight w:val="0"/>
          <w:marTop w:val="0"/>
          <w:marBottom w:val="0"/>
          <w:divBdr>
            <w:top w:val="none" w:sz="0" w:space="0" w:color="auto"/>
            <w:left w:val="none" w:sz="0" w:space="0" w:color="auto"/>
            <w:bottom w:val="none" w:sz="0" w:space="0" w:color="auto"/>
            <w:right w:val="none" w:sz="0" w:space="0" w:color="auto"/>
          </w:divBdr>
        </w:div>
        <w:div w:id="1564409975">
          <w:marLeft w:val="0"/>
          <w:marRight w:val="0"/>
          <w:marTop w:val="0"/>
          <w:marBottom w:val="0"/>
          <w:divBdr>
            <w:top w:val="none" w:sz="0" w:space="0" w:color="auto"/>
            <w:left w:val="none" w:sz="0" w:space="0" w:color="auto"/>
            <w:bottom w:val="none" w:sz="0" w:space="0" w:color="auto"/>
            <w:right w:val="none" w:sz="0" w:space="0" w:color="auto"/>
          </w:divBdr>
        </w:div>
        <w:div w:id="1698505667">
          <w:marLeft w:val="0"/>
          <w:marRight w:val="0"/>
          <w:marTop w:val="0"/>
          <w:marBottom w:val="0"/>
          <w:divBdr>
            <w:top w:val="none" w:sz="0" w:space="0" w:color="auto"/>
            <w:left w:val="none" w:sz="0" w:space="0" w:color="auto"/>
            <w:bottom w:val="none" w:sz="0" w:space="0" w:color="auto"/>
            <w:right w:val="none" w:sz="0" w:space="0" w:color="auto"/>
          </w:divBdr>
        </w:div>
        <w:div w:id="1782334343">
          <w:marLeft w:val="0"/>
          <w:marRight w:val="0"/>
          <w:marTop w:val="0"/>
          <w:marBottom w:val="0"/>
          <w:divBdr>
            <w:top w:val="none" w:sz="0" w:space="0" w:color="auto"/>
            <w:left w:val="none" w:sz="0" w:space="0" w:color="auto"/>
            <w:bottom w:val="none" w:sz="0" w:space="0" w:color="auto"/>
            <w:right w:val="none" w:sz="0" w:space="0" w:color="auto"/>
          </w:divBdr>
        </w:div>
        <w:div w:id="1813254834">
          <w:marLeft w:val="0"/>
          <w:marRight w:val="0"/>
          <w:marTop w:val="0"/>
          <w:marBottom w:val="0"/>
          <w:divBdr>
            <w:top w:val="none" w:sz="0" w:space="0" w:color="auto"/>
            <w:left w:val="none" w:sz="0" w:space="0" w:color="auto"/>
            <w:bottom w:val="none" w:sz="0" w:space="0" w:color="auto"/>
            <w:right w:val="none" w:sz="0" w:space="0" w:color="auto"/>
          </w:divBdr>
        </w:div>
        <w:div w:id="1876311247">
          <w:marLeft w:val="0"/>
          <w:marRight w:val="0"/>
          <w:marTop w:val="0"/>
          <w:marBottom w:val="0"/>
          <w:divBdr>
            <w:top w:val="none" w:sz="0" w:space="0" w:color="auto"/>
            <w:left w:val="none" w:sz="0" w:space="0" w:color="auto"/>
            <w:bottom w:val="none" w:sz="0" w:space="0" w:color="auto"/>
            <w:right w:val="none" w:sz="0" w:space="0" w:color="auto"/>
          </w:divBdr>
        </w:div>
        <w:div w:id="1884368256">
          <w:marLeft w:val="0"/>
          <w:marRight w:val="0"/>
          <w:marTop w:val="0"/>
          <w:marBottom w:val="0"/>
          <w:divBdr>
            <w:top w:val="none" w:sz="0" w:space="0" w:color="auto"/>
            <w:left w:val="none" w:sz="0" w:space="0" w:color="auto"/>
            <w:bottom w:val="none" w:sz="0" w:space="0" w:color="auto"/>
            <w:right w:val="none" w:sz="0" w:space="0" w:color="auto"/>
          </w:divBdr>
        </w:div>
        <w:div w:id="1943495374">
          <w:marLeft w:val="0"/>
          <w:marRight w:val="0"/>
          <w:marTop w:val="0"/>
          <w:marBottom w:val="0"/>
          <w:divBdr>
            <w:top w:val="none" w:sz="0" w:space="0" w:color="auto"/>
            <w:left w:val="none" w:sz="0" w:space="0" w:color="auto"/>
            <w:bottom w:val="none" w:sz="0" w:space="0" w:color="auto"/>
            <w:right w:val="none" w:sz="0" w:space="0" w:color="auto"/>
          </w:divBdr>
        </w:div>
        <w:div w:id="1994136877">
          <w:marLeft w:val="0"/>
          <w:marRight w:val="0"/>
          <w:marTop w:val="0"/>
          <w:marBottom w:val="0"/>
          <w:divBdr>
            <w:top w:val="none" w:sz="0" w:space="0" w:color="auto"/>
            <w:left w:val="none" w:sz="0" w:space="0" w:color="auto"/>
            <w:bottom w:val="none" w:sz="0" w:space="0" w:color="auto"/>
            <w:right w:val="none" w:sz="0" w:space="0" w:color="auto"/>
          </w:divBdr>
        </w:div>
      </w:divsChild>
    </w:div>
    <w:div w:id="150995620">
      <w:bodyDiv w:val="1"/>
      <w:marLeft w:val="0"/>
      <w:marRight w:val="0"/>
      <w:marTop w:val="0"/>
      <w:marBottom w:val="0"/>
      <w:divBdr>
        <w:top w:val="none" w:sz="0" w:space="0" w:color="auto"/>
        <w:left w:val="none" w:sz="0" w:space="0" w:color="auto"/>
        <w:bottom w:val="none" w:sz="0" w:space="0" w:color="auto"/>
        <w:right w:val="none" w:sz="0" w:space="0" w:color="auto"/>
      </w:divBdr>
    </w:div>
    <w:div w:id="204489630">
      <w:bodyDiv w:val="1"/>
      <w:marLeft w:val="0"/>
      <w:marRight w:val="0"/>
      <w:marTop w:val="0"/>
      <w:marBottom w:val="0"/>
      <w:divBdr>
        <w:top w:val="none" w:sz="0" w:space="0" w:color="auto"/>
        <w:left w:val="none" w:sz="0" w:space="0" w:color="auto"/>
        <w:bottom w:val="none" w:sz="0" w:space="0" w:color="auto"/>
        <w:right w:val="none" w:sz="0" w:space="0" w:color="auto"/>
      </w:divBdr>
      <w:divsChild>
        <w:div w:id="490679559">
          <w:marLeft w:val="0"/>
          <w:marRight w:val="0"/>
          <w:marTop w:val="0"/>
          <w:marBottom w:val="0"/>
          <w:divBdr>
            <w:top w:val="none" w:sz="0" w:space="0" w:color="auto"/>
            <w:left w:val="none" w:sz="0" w:space="0" w:color="auto"/>
            <w:bottom w:val="none" w:sz="0" w:space="0" w:color="auto"/>
            <w:right w:val="none" w:sz="0" w:space="0" w:color="auto"/>
          </w:divBdr>
        </w:div>
        <w:div w:id="1111780649">
          <w:marLeft w:val="0"/>
          <w:marRight w:val="0"/>
          <w:marTop w:val="0"/>
          <w:marBottom w:val="0"/>
          <w:divBdr>
            <w:top w:val="none" w:sz="0" w:space="0" w:color="auto"/>
            <w:left w:val="none" w:sz="0" w:space="0" w:color="auto"/>
            <w:bottom w:val="none" w:sz="0" w:space="0" w:color="auto"/>
            <w:right w:val="none" w:sz="0" w:space="0" w:color="auto"/>
          </w:divBdr>
        </w:div>
        <w:div w:id="1271426183">
          <w:marLeft w:val="0"/>
          <w:marRight w:val="0"/>
          <w:marTop w:val="0"/>
          <w:marBottom w:val="0"/>
          <w:divBdr>
            <w:top w:val="none" w:sz="0" w:space="0" w:color="auto"/>
            <w:left w:val="none" w:sz="0" w:space="0" w:color="auto"/>
            <w:bottom w:val="none" w:sz="0" w:space="0" w:color="auto"/>
            <w:right w:val="none" w:sz="0" w:space="0" w:color="auto"/>
          </w:divBdr>
        </w:div>
        <w:div w:id="1669821655">
          <w:marLeft w:val="0"/>
          <w:marRight w:val="0"/>
          <w:marTop w:val="0"/>
          <w:marBottom w:val="0"/>
          <w:divBdr>
            <w:top w:val="none" w:sz="0" w:space="0" w:color="auto"/>
            <w:left w:val="none" w:sz="0" w:space="0" w:color="auto"/>
            <w:bottom w:val="none" w:sz="0" w:space="0" w:color="auto"/>
            <w:right w:val="none" w:sz="0" w:space="0" w:color="auto"/>
          </w:divBdr>
        </w:div>
        <w:div w:id="2131194271">
          <w:marLeft w:val="0"/>
          <w:marRight w:val="0"/>
          <w:marTop w:val="0"/>
          <w:marBottom w:val="0"/>
          <w:divBdr>
            <w:top w:val="none" w:sz="0" w:space="0" w:color="auto"/>
            <w:left w:val="none" w:sz="0" w:space="0" w:color="auto"/>
            <w:bottom w:val="none" w:sz="0" w:space="0" w:color="auto"/>
            <w:right w:val="none" w:sz="0" w:space="0" w:color="auto"/>
          </w:divBdr>
        </w:div>
      </w:divsChild>
    </w:div>
    <w:div w:id="409232841">
      <w:bodyDiv w:val="1"/>
      <w:marLeft w:val="0"/>
      <w:marRight w:val="0"/>
      <w:marTop w:val="0"/>
      <w:marBottom w:val="0"/>
      <w:divBdr>
        <w:top w:val="none" w:sz="0" w:space="0" w:color="auto"/>
        <w:left w:val="none" w:sz="0" w:space="0" w:color="auto"/>
        <w:bottom w:val="none" w:sz="0" w:space="0" w:color="auto"/>
        <w:right w:val="none" w:sz="0" w:space="0" w:color="auto"/>
      </w:divBdr>
      <w:divsChild>
        <w:div w:id="995643228">
          <w:marLeft w:val="0"/>
          <w:marRight w:val="0"/>
          <w:marTop w:val="0"/>
          <w:marBottom w:val="0"/>
          <w:divBdr>
            <w:top w:val="none" w:sz="0" w:space="0" w:color="auto"/>
            <w:left w:val="none" w:sz="0" w:space="0" w:color="auto"/>
            <w:bottom w:val="none" w:sz="0" w:space="0" w:color="auto"/>
            <w:right w:val="none" w:sz="0" w:space="0" w:color="auto"/>
          </w:divBdr>
        </w:div>
        <w:div w:id="1465345276">
          <w:marLeft w:val="0"/>
          <w:marRight w:val="0"/>
          <w:marTop w:val="0"/>
          <w:marBottom w:val="0"/>
          <w:divBdr>
            <w:top w:val="none" w:sz="0" w:space="0" w:color="auto"/>
            <w:left w:val="none" w:sz="0" w:space="0" w:color="auto"/>
            <w:bottom w:val="none" w:sz="0" w:space="0" w:color="auto"/>
            <w:right w:val="none" w:sz="0" w:space="0" w:color="auto"/>
          </w:divBdr>
        </w:div>
        <w:div w:id="1956788020">
          <w:marLeft w:val="0"/>
          <w:marRight w:val="0"/>
          <w:marTop w:val="0"/>
          <w:marBottom w:val="0"/>
          <w:divBdr>
            <w:top w:val="none" w:sz="0" w:space="0" w:color="auto"/>
            <w:left w:val="none" w:sz="0" w:space="0" w:color="auto"/>
            <w:bottom w:val="none" w:sz="0" w:space="0" w:color="auto"/>
            <w:right w:val="none" w:sz="0" w:space="0" w:color="auto"/>
          </w:divBdr>
        </w:div>
      </w:divsChild>
    </w:div>
    <w:div w:id="467089016">
      <w:bodyDiv w:val="1"/>
      <w:marLeft w:val="0"/>
      <w:marRight w:val="0"/>
      <w:marTop w:val="0"/>
      <w:marBottom w:val="0"/>
      <w:divBdr>
        <w:top w:val="none" w:sz="0" w:space="0" w:color="auto"/>
        <w:left w:val="none" w:sz="0" w:space="0" w:color="auto"/>
        <w:bottom w:val="none" w:sz="0" w:space="0" w:color="auto"/>
        <w:right w:val="none" w:sz="0" w:space="0" w:color="auto"/>
      </w:divBdr>
      <w:divsChild>
        <w:div w:id="829521409">
          <w:marLeft w:val="0"/>
          <w:marRight w:val="0"/>
          <w:marTop w:val="0"/>
          <w:marBottom w:val="0"/>
          <w:divBdr>
            <w:top w:val="none" w:sz="0" w:space="0" w:color="auto"/>
            <w:left w:val="none" w:sz="0" w:space="0" w:color="auto"/>
            <w:bottom w:val="none" w:sz="0" w:space="0" w:color="auto"/>
            <w:right w:val="none" w:sz="0" w:space="0" w:color="auto"/>
          </w:divBdr>
        </w:div>
        <w:div w:id="881601690">
          <w:marLeft w:val="0"/>
          <w:marRight w:val="0"/>
          <w:marTop w:val="0"/>
          <w:marBottom w:val="0"/>
          <w:divBdr>
            <w:top w:val="none" w:sz="0" w:space="0" w:color="auto"/>
            <w:left w:val="none" w:sz="0" w:space="0" w:color="auto"/>
            <w:bottom w:val="none" w:sz="0" w:space="0" w:color="auto"/>
            <w:right w:val="none" w:sz="0" w:space="0" w:color="auto"/>
          </w:divBdr>
        </w:div>
        <w:div w:id="1517695310">
          <w:marLeft w:val="0"/>
          <w:marRight w:val="0"/>
          <w:marTop w:val="0"/>
          <w:marBottom w:val="0"/>
          <w:divBdr>
            <w:top w:val="none" w:sz="0" w:space="0" w:color="auto"/>
            <w:left w:val="none" w:sz="0" w:space="0" w:color="auto"/>
            <w:bottom w:val="none" w:sz="0" w:space="0" w:color="auto"/>
            <w:right w:val="none" w:sz="0" w:space="0" w:color="auto"/>
          </w:divBdr>
        </w:div>
        <w:div w:id="1588003320">
          <w:marLeft w:val="0"/>
          <w:marRight w:val="0"/>
          <w:marTop w:val="0"/>
          <w:marBottom w:val="0"/>
          <w:divBdr>
            <w:top w:val="none" w:sz="0" w:space="0" w:color="auto"/>
            <w:left w:val="none" w:sz="0" w:space="0" w:color="auto"/>
            <w:bottom w:val="none" w:sz="0" w:space="0" w:color="auto"/>
            <w:right w:val="none" w:sz="0" w:space="0" w:color="auto"/>
          </w:divBdr>
        </w:div>
        <w:div w:id="1592005975">
          <w:marLeft w:val="0"/>
          <w:marRight w:val="0"/>
          <w:marTop w:val="0"/>
          <w:marBottom w:val="0"/>
          <w:divBdr>
            <w:top w:val="none" w:sz="0" w:space="0" w:color="auto"/>
            <w:left w:val="none" w:sz="0" w:space="0" w:color="auto"/>
            <w:bottom w:val="none" w:sz="0" w:space="0" w:color="auto"/>
            <w:right w:val="none" w:sz="0" w:space="0" w:color="auto"/>
          </w:divBdr>
        </w:div>
        <w:div w:id="1611618767">
          <w:marLeft w:val="0"/>
          <w:marRight w:val="0"/>
          <w:marTop w:val="0"/>
          <w:marBottom w:val="0"/>
          <w:divBdr>
            <w:top w:val="none" w:sz="0" w:space="0" w:color="auto"/>
            <w:left w:val="none" w:sz="0" w:space="0" w:color="auto"/>
            <w:bottom w:val="none" w:sz="0" w:space="0" w:color="auto"/>
            <w:right w:val="none" w:sz="0" w:space="0" w:color="auto"/>
          </w:divBdr>
        </w:div>
        <w:div w:id="1622419133">
          <w:marLeft w:val="0"/>
          <w:marRight w:val="0"/>
          <w:marTop w:val="0"/>
          <w:marBottom w:val="0"/>
          <w:divBdr>
            <w:top w:val="none" w:sz="0" w:space="0" w:color="auto"/>
            <w:left w:val="none" w:sz="0" w:space="0" w:color="auto"/>
            <w:bottom w:val="none" w:sz="0" w:space="0" w:color="auto"/>
            <w:right w:val="none" w:sz="0" w:space="0" w:color="auto"/>
          </w:divBdr>
        </w:div>
        <w:div w:id="1937903465">
          <w:marLeft w:val="0"/>
          <w:marRight w:val="0"/>
          <w:marTop w:val="0"/>
          <w:marBottom w:val="0"/>
          <w:divBdr>
            <w:top w:val="none" w:sz="0" w:space="0" w:color="auto"/>
            <w:left w:val="none" w:sz="0" w:space="0" w:color="auto"/>
            <w:bottom w:val="none" w:sz="0" w:space="0" w:color="auto"/>
            <w:right w:val="none" w:sz="0" w:space="0" w:color="auto"/>
          </w:divBdr>
        </w:div>
      </w:divsChild>
    </w:div>
    <w:div w:id="620108899">
      <w:bodyDiv w:val="1"/>
      <w:marLeft w:val="0"/>
      <w:marRight w:val="0"/>
      <w:marTop w:val="0"/>
      <w:marBottom w:val="0"/>
      <w:divBdr>
        <w:top w:val="none" w:sz="0" w:space="0" w:color="auto"/>
        <w:left w:val="none" w:sz="0" w:space="0" w:color="auto"/>
        <w:bottom w:val="none" w:sz="0" w:space="0" w:color="auto"/>
        <w:right w:val="none" w:sz="0" w:space="0" w:color="auto"/>
      </w:divBdr>
    </w:div>
    <w:div w:id="794716215">
      <w:bodyDiv w:val="1"/>
      <w:marLeft w:val="0"/>
      <w:marRight w:val="0"/>
      <w:marTop w:val="0"/>
      <w:marBottom w:val="0"/>
      <w:divBdr>
        <w:top w:val="none" w:sz="0" w:space="0" w:color="auto"/>
        <w:left w:val="none" w:sz="0" w:space="0" w:color="auto"/>
        <w:bottom w:val="none" w:sz="0" w:space="0" w:color="auto"/>
        <w:right w:val="none" w:sz="0" w:space="0" w:color="auto"/>
      </w:divBdr>
      <w:divsChild>
        <w:div w:id="76949184">
          <w:marLeft w:val="0"/>
          <w:marRight w:val="0"/>
          <w:marTop w:val="0"/>
          <w:marBottom w:val="0"/>
          <w:divBdr>
            <w:top w:val="none" w:sz="0" w:space="0" w:color="auto"/>
            <w:left w:val="none" w:sz="0" w:space="0" w:color="auto"/>
            <w:bottom w:val="none" w:sz="0" w:space="0" w:color="auto"/>
            <w:right w:val="none" w:sz="0" w:space="0" w:color="auto"/>
          </w:divBdr>
        </w:div>
        <w:div w:id="207576393">
          <w:marLeft w:val="0"/>
          <w:marRight w:val="0"/>
          <w:marTop w:val="0"/>
          <w:marBottom w:val="0"/>
          <w:divBdr>
            <w:top w:val="none" w:sz="0" w:space="0" w:color="auto"/>
            <w:left w:val="none" w:sz="0" w:space="0" w:color="auto"/>
            <w:bottom w:val="none" w:sz="0" w:space="0" w:color="auto"/>
            <w:right w:val="none" w:sz="0" w:space="0" w:color="auto"/>
          </w:divBdr>
        </w:div>
        <w:div w:id="717432127">
          <w:marLeft w:val="0"/>
          <w:marRight w:val="0"/>
          <w:marTop w:val="0"/>
          <w:marBottom w:val="0"/>
          <w:divBdr>
            <w:top w:val="none" w:sz="0" w:space="0" w:color="auto"/>
            <w:left w:val="none" w:sz="0" w:space="0" w:color="auto"/>
            <w:bottom w:val="none" w:sz="0" w:space="0" w:color="auto"/>
            <w:right w:val="none" w:sz="0" w:space="0" w:color="auto"/>
          </w:divBdr>
        </w:div>
        <w:div w:id="895821364">
          <w:marLeft w:val="0"/>
          <w:marRight w:val="0"/>
          <w:marTop w:val="0"/>
          <w:marBottom w:val="0"/>
          <w:divBdr>
            <w:top w:val="none" w:sz="0" w:space="0" w:color="auto"/>
            <w:left w:val="none" w:sz="0" w:space="0" w:color="auto"/>
            <w:bottom w:val="none" w:sz="0" w:space="0" w:color="auto"/>
            <w:right w:val="none" w:sz="0" w:space="0" w:color="auto"/>
          </w:divBdr>
        </w:div>
        <w:div w:id="1269964598">
          <w:marLeft w:val="0"/>
          <w:marRight w:val="0"/>
          <w:marTop w:val="0"/>
          <w:marBottom w:val="0"/>
          <w:divBdr>
            <w:top w:val="none" w:sz="0" w:space="0" w:color="auto"/>
            <w:left w:val="none" w:sz="0" w:space="0" w:color="auto"/>
            <w:bottom w:val="none" w:sz="0" w:space="0" w:color="auto"/>
            <w:right w:val="none" w:sz="0" w:space="0" w:color="auto"/>
          </w:divBdr>
        </w:div>
        <w:div w:id="1541940589">
          <w:marLeft w:val="0"/>
          <w:marRight w:val="0"/>
          <w:marTop w:val="0"/>
          <w:marBottom w:val="0"/>
          <w:divBdr>
            <w:top w:val="none" w:sz="0" w:space="0" w:color="auto"/>
            <w:left w:val="none" w:sz="0" w:space="0" w:color="auto"/>
            <w:bottom w:val="none" w:sz="0" w:space="0" w:color="auto"/>
            <w:right w:val="none" w:sz="0" w:space="0" w:color="auto"/>
          </w:divBdr>
        </w:div>
      </w:divsChild>
    </w:div>
    <w:div w:id="816872155">
      <w:bodyDiv w:val="1"/>
      <w:marLeft w:val="0"/>
      <w:marRight w:val="0"/>
      <w:marTop w:val="0"/>
      <w:marBottom w:val="0"/>
      <w:divBdr>
        <w:top w:val="none" w:sz="0" w:space="0" w:color="auto"/>
        <w:left w:val="none" w:sz="0" w:space="0" w:color="auto"/>
        <w:bottom w:val="none" w:sz="0" w:space="0" w:color="auto"/>
        <w:right w:val="none" w:sz="0" w:space="0" w:color="auto"/>
      </w:divBdr>
      <w:divsChild>
        <w:div w:id="2025325933">
          <w:marLeft w:val="0"/>
          <w:marRight w:val="0"/>
          <w:marTop w:val="0"/>
          <w:marBottom w:val="0"/>
          <w:divBdr>
            <w:top w:val="none" w:sz="0" w:space="0" w:color="auto"/>
            <w:left w:val="none" w:sz="0" w:space="0" w:color="auto"/>
            <w:bottom w:val="none" w:sz="0" w:space="0" w:color="auto"/>
            <w:right w:val="none" w:sz="0" w:space="0" w:color="auto"/>
          </w:divBdr>
        </w:div>
      </w:divsChild>
    </w:div>
    <w:div w:id="1114862572">
      <w:bodyDiv w:val="1"/>
      <w:marLeft w:val="0"/>
      <w:marRight w:val="0"/>
      <w:marTop w:val="0"/>
      <w:marBottom w:val="0"/>
      <w:divBdr>
        <w:top w:val="none" w:sz="0" w:space="0" w:color="auto"/>
        <w:left w:val="none" w:sz="0" w:space="0" w:color="auto"/>
        <w:bottom w:val="none" w:sz="0" w:space="0" w:color="auto"/>
        <w:right w:val="none" w:sz="0" w:space="0" w:color="auto"/>
      </w:divBdr>
      <w:divsChild>
        <w:div w:id="133066622">
          <w:marLeft w:val="0"/>
          <w:marRight w:val="0"/>
          <w:marTop w:val="0"/>
          <w:marBottom w:val="0"/>
          <w:divBdr>
            <w:top w:val="none" w:sz="0" w:space="0" w:color="auto"/>
            <w:left w:val="none" w:sz="0" w:space="0" w:color="auto"/>
            <w:bottom w:val="none" w:sz="0" w:space="0" w:color="auto"/>
            <w:right w:val="none" w:sz="0" w:space="0" w:color="auto"/>
          </w:divBdr>
        </w:div>
        <w:div w:id="541526305">
          <w:marLeft w:val="0"/>
          <w:marRight w:val="0"/>
          <w:marTop w:val="0"/>
          <w:marBottom w:val="0"/>
          <w:divBdr>
            <w:top w:val="none" w:sz="0" w:space="0" w:color="auto"/>
            <w:left w:val="none" w:sz="0" w:space="0" w:color="auto"/>
            <w:bottom w:val="none" w:sz="0" w:space="0" w:color="auto"/>
            <w:right w:val="none" w:sz="0" w:space="0" w:color="auto"/>
          </w:divBdr>
        </w:div>
        <w:div w:id="1173646370">
          <w:marLeft w:val="0"/>
          <w:marRight w:val="0"/>
          <w:marTop w:val="0"/>
          <w:marBottom w:val="0"/>
          <w:divBdr>
            <w:top w:val="none" w:sz="0" w:space="0" w:color="auto"/>
            <w:left w:val="none" w:sz="0" w:space="0" w:color="auto"/>
            <w:bottom w:val="none" w:sz="0" w:space="0" w:color="auto"/>
            <w:right w:val="none" w:sz="0" w:space="0" w:color="auto"/>
          </w:divBdr>
        </w:div>
        <w:div w:id="1317761710">
          <w:marLeft w:val="0"/>
          <w:marRight w:val="0"/>
          <w:marTop w:val="0"/>
          <w:marBottom w:val="0"/>
          <w:divBdr>
            <w:top w:val="none" w:sz="0" w:space="0" w:color="auto"/>
            <w:left w:val="none" w:sz="0" w:space="0" w:color="auto"/>
            <w:bottom w:val="none" w:sz="0" w:space="0" w:color="auto"/>
            <w:right w:val="none" w:sz="0" w:space="0" w:color="auto"/>
          </w:divBdr>
        </w:div>
        <w:div w:id="2122603670">
          <w:marLeft w:val="0"/>
          <w:marRight w:val="0"/>
          <w:marTop w:val="0"/>
          <w:marBottom w:val="0"/>
          <w:divBdr>
            <w:top w:val="none" w:sz="0" w:space="0" w:color="auto"/>
            <w:left w:val="none" w:sz="0" w:space="0" w:color="auto"/>
            <w:bottom w:val="none" w:sz="0" w:space="0" w:color="auto"/>
            <w:right w:val="none" w:sz="0" w:space="0" w:color="auto"/>
          </w:divBdr>
        </w:div>
      </w:divsChild>
    </w:div>
    <w:div w:id="1150099347">
      <w:bodyDiv w:val="1"/>
      <w:marLeft w:val="0"/>
      <w:marRight w:val="0"/>
      <w:marTop w:val="0"/>
      <w:marBottom w:val="0"/>
      <w:divBdr>
        <w:top w:val="none" w:sz="0" w:space="0" w:color="auto"/>
        <w:left w:val="none" w:sz="0" w:space="0" w:color="auto"/>
        <w:bottom w:val="none" w:sz="0" w:space="0" w:color="auto"/>
        <w:right w:val="none" w:sz="0" w:space="0" w:color="auto"/>
      </w:divBdr>
      <w:divsChild>
        <w:div w:id="729040102">
          <w:marLeft w:val="0"/>
          <w:marRight w:val="0"/>
          <w:marTop w:val="0"/>
          <w:marBottom w:val="0"/>
          <w:divBdr>
            <w:top w:val="none" w:sz="0" w:space="0" w:color="auto"/>
            <w:left w:val="none" w:sz="0" w:space="0" w:color="auto"/>
            <w:bottom w:val="none" w:sz="0" w:space="0" w:color="auto"/>
            <w:right w:val="none" w:sz="0" w:space="0" w:color="auto"/>
          </w:divBdr>
        </w:div>
      </w:divsChild>
    </w:div>
    <w:div w:id="1175847060">
      <w:bodyDiv w:val="1"/>
      <w:marLeft w:val="0"/>
      <w:marRight w:val="0"/>
      <w:marTop w:val="0"/>
      <w:marBottom w:val="0"/>
      <w:divBdr>
        <w:top w:val="none" w:sz="0" w:space="0" w:color="auto"/>
        <w:left w:val="none" w:sz="0" w:space="0" w:color="auto"/>
        <w:bottom w:val="none" w:sz="0" w:space="0" w:color="auto"/>
        <w:right w:val="none" w:sz="0" w:space="0" w:color="auto"/>
      </w:divBdr>
    </w:div>
    <w:div w:id="1252621728">
      <w:bodyDiv w:val="1"/>
      <w:marLeft w:val="0"/>
      <w:marRight w:val="0"/>
      <w:marTop w:val="0"/>
      <w:marBottom w:val="0"/>
      <w:divBdr>
        <w:top w:val="none" w:sz="0" w:space="0" w:color="auto"/>
        <w:left w:val="none" w:sz="0" w:space="0" w:color="auto"/>
        <w:bottom w:val="none" w:sz="0" w:space="0" w:color="auto"/>
        <w:right w:val="none" w:sz="0" w:space="0" w:color="auto"/>
      </w:divBdr>
      <w:divsChild>
        <w:div w:id="257446562">
          <w:marLeft w:val="0"/>
          <w:marRight w:val="0"/>
          <w:marTop w:val="0"/>
          <w:marBottom w:val="0"/>
          <w:divBdr>
            <w:top w:val="none" w:sz="0" w:space="0" w:color="auto"/>
            <w:left w:val="none" w:sz="0" w:space="0" w:color="auto"/>
            <w:bottom w:val="none" w:sz="0" w:space="0" w:color="auto"/>
            <w:right w:val="none" w:sz="0" w:space="0" w:color="auto"/>
          </w:divBdr>
        </w:div>
        <w:div w:id="739524055">
          <w:marLeft w:val="0"/>
          <w:marRight w:val="0"/>
          <w:marTop w:val="0"/>
          <w:marBottom w:val="0"/>
          <w:divBdr>
            <w:top w:val="none" w:sz="0" w:space="0" w:color="auto"/>
            <w:left w:val="none" w:sz="0" w:space="0" w:color="auto"/>
            <w:bottom w:val="none" w:sz="0" w:space="0" w:color="auto"/>
            <w:right w:val="none" w:sz="0" w:space="0" w:color="auto"/>
          </w:divBdr>
        </w:div>
        <w:div w:id="748892920">
          <w:marLeft w:val="0"/>
          <w:marRight w:val="0"/>
          <w:marTop w:val="0"/>
          <w:marBottom w:val="0"/>
          <w:divBdr>
            <w:top w:val="none" w:sz="0" w:space="0" w:color="auto"/>
            <w:left w:val="none" w:sz="0" w:space="0" w:color="auto"/>
            <w:bottom w:val="none" w:sz="0" w:space="0" w:color="auto"/>
            <w:right w:val="none" w:sz="0" w:space="0" w:color="auto"/>
          </w:divBdr>
        </w:div>
        <w:div w:id="944263195">
          <w:marLeft w:val="0"/>
          <w:marRight w:val="0"/>
          <w:marTop w:val="0"/>
          <w:marBottom w:val="0"/>
          <w:divBdr>
            <w:top w:val="none" w:sz="0" w:space="0" w:color="auto"/>
            <w:left w:val="none" w:sz="0" w:space="0" w:color="auto"/>
            <w:bottom w:val="none" w:sz="0" w:space="0" w:color="auto"/>
            <w:right w:val="none" w:sz="0" w:space="0" w:color="auto"/>
          </w:divBdr>
        </w:div>
        <w:div w:id="1085105628">
          <w:marLeft w:val="0"/>
          <w:marRight w:val="0"/>
          <w:marTop w:val="0"/>
          <w:marBottom w:val="0"/>
          <w:divBdr>
            <w:top w:val="none" w:sz="0" w:space="0" w:color="auto"/>
            <w:left w:val="none" w:sz="0" w:space="0" w:color="auto"/>
            <w:bottom w:val="none" w:sz="0" w:space="0" w:color="auto"/>
            <w:right w:val="none" w:sz="0" w:space="0" w:color="auto"/>
          </w:divBdr>
        </w:div>
      </w:divsChild>
    </w:div>
    <w:div w:id="1279027676">
      <w:bodyDiv w:val="1"/>
      <w:marLeft w:val="0"/>
      <w:marRight w:val="0"/>
      <w:marTop w:val="0"/>
      <w:marBottom w:val="0"/>
      <w:divBdr>
        <w:top w:val="none" w:sz="0" w:space="0" w:color="auto"/>
        <w:left w:val="none" w:sz="0" w:space="0" w:color="auto"/>
        <w:bottom w:val="none" w:sz="0" w:space="0" w:color="auto"/>
        <w:right w:val="none" w:sz="0" w:space="0" w:color="auto"/>
      </w:divBdr>
      <w:divsChild>
        <w:div w:id="1026714480">
          <w:marLeft w:val="0"/>
          <w:marRight w:val="0"/>
          <w:marTop w:val="0"/>
          <w:marBottom w:val="0"/>
          <w:divBdr>
            <w:top w:val="none" w:sz="0" w:space="0" w:color="auto"/>
            <w:left w:val="none" w:sz="0" w:space="0" w:color="auto"/>
            <w:bottom w:val="none" w:sz="0" w:space="0" w:color="auto"/>
            <w:right w:val="none" w:sz="0" w:space="0" w:color="auto"/>
          </w:divBdr>
        </w:div>
      </w:divsChild>
    </w:div>
    <w:div w:id="1309170463">
      <w:bodyDiv w:val="1"/>
      <w:marLeft w:val="0"/>
      <w:marRight w:val="0"/>
      <w:marTop w:val="0"/>
      <w:marBottom w:val="0"/>
      <w:divBdr>
        <w:top w:val="none" w:sz="0" w:space="0" w:color="auto"/>
        <w:left w:val="none" w:sz="0" w:space="0" w:color="auto"/>
        <w:bottom w:val="none" w:sz="0" w:space="0" w:color="auto"/>
        <w:right w:val="none" w:sz="0" w:space="0" w:color="auto"/>
      </w:divBdr>
      <w:divsChild>
        <w:div w:id="30542831">
          <w:marLeft w:val="0"/>
          <w:marRight w:val="0"/>
          <w:marTop w:val="0"/>
          <w:marBottom w:val="0"/>
          <w:divBdr>
            <w:top w:val="none" w:sz="0" w:space="0" w:color="auto"/>
            <w:left w:val="none" w:sz="0" w:space="0" w:color="auto"/>
            <w:bottom w:val="none" w:sz="0" w:space="0" w:color="auto"/>
            <w:right w:val="none" w:sz="0" w:space="0" w:color="auto"/>
          </w:divBdr>
        </w:div>
        <w:div w:id="265818779">
          <w:marLeft w:val="0"/>
          <w:marRight w:val="0"/>
          <w:marTop w:val="0"/>
          <w:marBottom w:val="0"/>
          <w:divBdr>
            <w:top w:val="none" w:sz="0" w:space="0" w:color="auto"/>
            <w:left w:val="none" w:sz="0" w:space="0" w:color="auto"/>
            <w:bottom w:val="none" w:sz="0" w:space="0" w:color="auto"/>
            <w:right w:val="none" w:sz="0" w:space="0" w:color="auto"/>
          </w:divBdr>
        </w:div>
        <w:div w:id="338850678">
          <w:marLeft w:val="0"/>
          <w:marRight w:val="0"/>
          <w:marTop w:val="0"/>
          <w:marBottom w:val="0"/>
          <w:divBdr>
            <w:top w:val="none" w:sz="0" w:space="0" w:color="auto"/>
            <w:left w:val="none" w:sz="0" w:space="0" w:color="auto"/>
            <w:bottom w:val="none" w:sz="0" w:space="0" w:color="auto"/>
            <w:right w:val="none" w:sz="0" w:space="0" w:color="auto"/>
          </w:divBdr>
        </w:div>
        <w:div w:id="495539906">
          <w:marLeft w:val="0"/>
          <w:marRight w:val="0"/>
          <w:marTop w:val="0"/>
          <w:marBottom w:val="0"/>
          <w:divBdr>
            <w:top w:val="none" w:sz="0" w:space="0" w:color="auto"/>
            <w:left w:val="none" w:sz="0" w:space="0" w:color="auto"/>
            <w:bottom w:val="none" w:sz="0" w:space="0" w:color="auto"/>
            <w:right w:val="none" w:sz="0" w:space="0" w:color="auto"/>
          </w:divBdr>
        </w:div>
        <w:div w:id="625740959">
          <w:marLeft w:val="0"/>
          <w:marRight w:val="0"/>
          <w:marTop w:val="0"/>
          <w:marBottom w:val="0"/>
          <w:divBdr>
            <w:top w:val="none" w:sz="0" w:space="0" w:color="auto"/>
            <w:left w:val="none" w:sz="0" w:space="0" w:color="auto"/>
            <w:bottom w:val="none" w:sz="0" w:space="0" w:color="auto"/>
            <w:right w:val="none" w:sz="0" w:space="0" w:color="auto"/>
          </w:divBdr>
        </w:div>
        <w:div w:id="835345021">
          <w:marLeft w:val="0"/>
          <w:marRight w:val="0"/>
          <w:marTop w:val="0"/>
          <w:marBottom w:val="0"/>
          <w:divBdr>
            <w:top w:val="none" w:sz="0" w:space="0" w:color="auto"/>
            <w:left w:val="none" w:sz="0" w:space="0" w:color="auto"/>
            <w:bottom w:val="none" w:sz="0" w:space="0" w:color="auto"/>
            <w:right w:val="none" w:sz="0" w:space="0" w:color="auto"/>
          </w:divBdr>
        </w:div>
        <w:div w:id="964193480">
          <w:marLeft w:val="0"/>
          <w:marRight w:val="0"/>
          <w:marTop w:val="0"/>
          <w:marBottom w:val="0"/>
          <w:divBdr>
            <w:top w:val="none" w:sz="0" w:space="0" w:color="auto"/>
            <w:left w:val="none" w:sz="0" w:space="0" w:color="auto"/>
            <w:bottom w:val="none" w:sz="0" w:space="0" w:color="auto"/>
            <w:right w:val="none" w:sz="0" w:space="0" w:color="auto"/>
          </w:divBdr>
        </w:div>
        <w:div w:id="1444155454">
          <w:marLeft w:val="0"/>
          <w:marRight w:val="0"/>
          <w:marTop w:val="0"/>
          <w:marBottom w:val="0"/>
          <w:divBdr>
            <w:top w:val="none" w:sz="0" w:space="0" w:color="auto"/>
            <w:left w:val="none" w:sz="0" w:space="0" w:color="auto"/>
            <w:bottom w:val="none" w:sz="0" w:space="0" w:color="auto"/>
            <w:right w:val="none" w:sz="0" w:space="0" w:color="auto"/>
          </w:divBdr>
        </w:div>
        <w:div w:id="1787309155">
          <w:marLeft w:val="0"/>
          <w:marRight w:val="0"/>
          <w:marTop w:val="0"/>
          <w:marBottom w:val="0"/>
          <w:divBdr>
            <w:top w:val="none" w:sz="0" w:space="0" w:color="auto"/>
            <w:left w:val="none" w:sz="0" w:space="0" w:color="auto"/>
            <w:bottom w:val="none" w:sz="0" w:space="0" w:color="auto"/>
            <w:right w:val="none" w:sz="0" w:space="0" w:color="auto"/>
          </w:divBdr>
        </w:div>
        <w:div w:id="1846702586">
          <w:marLeft w:val="0"/>
          <w:marRight w:val="0"/>
          <w:marTop w:val="0"/>
          <w:marBottom w:val="0"/>
          <w:divBdr>
            <w:top w:val="none" w:sz="0" w:space="0" w:color="auto"/>
            <w:left w:val="none" w:sz="0" w:space="0" w:color="auto"/>
            <w:bottom w:val="none" w:sz="0" w:space="0" w:color="auto"/>
            <w:right w:val="none" w:sz="0" w:space="0" w:color="auto"/>
          </w:divBdr>
        </w:div>
        <w:div w:id="1924753707">
          <w:marLeft w:val="0"/>
          <w:marRight w:val="0"/>
          <w:marTop w:val="0"/>
          <w:marBottom w:val="0"/>
          <w:divBdr>
            <w:top w:val="none" w:sz="0" w:space="0" w:color="auto"/>
            <w:left w:val="none" w:sz="0" w:space="0" w:color="auto"/>
            <w:bottom w:val="none" w:sz="0" w:space="0" w:color="auto"/>
            <w:right w:val="none" w:sz="0" w:space="0" w:color="auto"/>
          </w:divBdr>
        </w:div>
      </w:divsChild>
    </w:div>
    <w:div w:id="1310548374">
      <w:bodyDiv w:val="1"/>
      <w:marLeft w:val="0"/>
      <w:marRight w:val="0"/>
      <w:marTop w:val="0"/>
      <w:marBottom w:val="0"/>
      <w:divBdr>
        <w:top w:val="none" w:sz="0" w:space="0" w:color="auto"/>
        <w:left w:val="none" w:sz="0" w:space="0" w:color="auto"/>
        <w:bottom w:val="none" w:sz="0" w:space="0" w:color="auto"/>
        <w:right w:val="none" w:sz="0" w:space="0" w:color="auto"/>
      </w:divBdr>
      <w:divsChild>
        <w:div w:id="542444156">
          <w:marLeft w:val="0"/>
          <w:marRight w:val="0"/>
          <w:marTop w:val="0"/>
          <w:marBottom w:val="0"/>
          <w:divBdr>
            <w:top w:val="none" w:sz="0" w:space="0" w:color="auto"/>
            <w:left w:val="none" w:sz="0" w:space="0" w:color="auto"/>
            <w:bottom w:val="none" w:sz="0" w:space="0" w:color="auto"/>
            <w:right w:val="none" w:sz="0" w:space="0" w:color="auto"/>
          </w:divBdr>
        </w:div>
        <w:div w:id="910889854">
          <w:marLeft w:val="0"/>
          <w:marRight w:val="0"/>
          <w:marTop w:val="0"/>
          <w:marBottom w:val="0"/>
          <w:divBdr>
            <w:top w:val="none" w:sz="0" w:space="0" w:color="auto"/>
            <w:left w:val="none" w:sz="0" w:space="0" w:color="auto"/>
            <w:bottom w:val="none" w:sz="0" w:space="0" w:color="auto"/>
            <w:right w:val="none" w:sz="0" w:space="0" w:color="auto"/>
          </w:divBdr>
        </w:div>
      </w:divsChild>
    </w:div>
    <w:div w:id="1582643363">
      <w:bodyDiv w:val="1"/>
      <w:marLeft w:val="0"/>
      <w:marRight w:val="0"/>
      <w:marTop w:val="0"/>
      <w:marBottom w:val="0"/>
      <w:divBdr>
        <w:top w:val="none" w:sz="0" w:space="0" w:color="auto"/>
        <w:left w:val="none" w:sz="0" w:space="0" w:color="auto"/>
        <w:bottom w:val="none" w:sz="0" w:space="0" w:color="auto"/>
        <w:right w:val="none" w:sz="0" w:space="0" w:color="auto"/>
      </w:divBdr>
      <w:divsChild>
        <w:div w:id="52506921">
          <w:marLeft w:val="0"/>
          <w:marRight w:val="0"/>
          <w:marTop w:val="0"/>
          <w:marBottom w:val="0"/>
          <w:divBdr>
            <w:top w:val="none" w:sz="0" w:space="0" w:color="auto"/>
            <w:left w:val="none" w:sz="0" w:space="0" w:color="auto"/>
            <w:bottom w:val="none" w:sz="0" w:space="0" w:color="auto"/>
            <w:right w:val="none" w:sz="0" w:space="0" w:color="auto"/>
          </w:divBdr>
        </w:div>
        <w:div w:id="113521196">
          <w:marLeft w:val="0"/>
          <w:marRight w:val="0"/>
          <w:marTop w:val="0"/>
          <w:marBottom w:val="0"/>
          <w:divBdr>
            <w:top w:val="none" w:sz="0" w:space="0" w:color="auto"/>
            <w:left w:val="none" w:sz="0" w:space="0" w:color="auto"/>
            <w:bottom w:val="none" w:sz="0" w:space="0" w:color="auto"/>
            <w:right w:val="none" w:sz="0" w:space="0" w:color="auto"/>
          </w:divBdr>
        </w:div>
        <w:div w:id="211233412">
          <w:marLeft w:val="0"/>
          <w:marRight w:val="0"/>
          <w:marTop w:val="0"/>
          <w:marBottom w:val="0"/>
          <w:divBdr>
            <w:top w:val="none" w:sz="0" w:space="0" w:color="auto"/>
            <w:left w:val="none" w:sz="0" w:space="0" w:color="auto"/>
            <w:bottom w:val="none" w:sz="0" w:space="0" w:color="auto"/>
            <w:right w:val="none" w:sz="0" w:space="0" w:color="auto"/>
          </w:divBdr>
        </w:div>
        <w:div w:id="212232587">
          <w:marLeft w:val="0"/>
          <w:marRight w:val="0"/>
          <w:marTop w:val="0"/>
          <w:marBottom w:val="0"/>
          <w:divBdr>
            <w:top w:val="none" w:sz="0" w:space="0" w:color="auto"/>
            <w:left w:val="none" w:sz="0" w:space="0" w:color="auto"/>
            <w:bottom w:val="none" w:sz="0" w:space="0" w:color="auto"/>
            <w:right w:val="none" w:sz="0" w:space="0" w:color="auto"/>
          </w:divBdr>
        </w:div>
        <w:div w:id="236861629">
          <w:marLeft w:val="0"/>
          <w:marRight w:val="0"/>
          <w:marTop w:val="0"/>
          <w:marBottom w:val="0"/>
          <w:divBdr>
            <w:top w:val="none" w:sz="0" w:space="0" w:color="auto"/>
            <w:left w:val="none" w:sz="0" w:space="0" w:color="auto"/>
            <w:bottom w:val="none" w:sz="0" w:space="0" w:color="auto"/>
            <w:right w:val="none" w:sz="0" w:space="0" w:color="auto"/>
          </w:divBdr>
        </w:div>
        <w:div w:id="242838119">
          <w:marLeft w:val="0"/>
          <w:marRight w:val="0"/>
          <w:marTop w:val="0"/>
          <w:marBottom w:val="0"/>
          <w:divBdr>
            <w:top w:val="none" w:sz="0" w:space="0" w:color="auto"/>
            <w:left w:val="none" w:sz="0" w:space="0" w:color="auto"/>
            <w:bottom w:val="none" w:sz="0" w:space="0" w:color="auto"/>
            <w:right w:val="none" w:sz="0" w:space="0" w:color="auto"/>
          </w:divBdr>
        </w:div>
        <w:div w:id="301933861">
          <w:marLeft w:val="0"/>
          <w:marRight w:val="0"/>
          <w:marTop w:val="0"/>
          <w:marBottom w:val="0"/>
          <w:divBdr>
            <w:top w:val="none" w:sz="0" w:space="0" w:color="auto"/>
            <w:left w:val="none" w:sz="0" w:space="0" w:color="auto"/>
            <w:bottom w:val="none" w:sz="0" w:space="0" w:color="auto"/>
            <w:right w:val="none" w:sz="0" w:space="0" w:color="auto"/>
          </w:divBdr>
        </w:div>
        <w:div w:id="343360556">
          <w:marLeft w:val="0"/>
          <w:marRight w:val="0"/>
          <w:marTop w:val="0"/>
          <w:marBottom w:val="0"/>
          <w:divBdr>
            <w:top w:val="none" w:sz="0" w:space="0" w:color="auto"/>
            <w:left w:val="none" w:sz="0" w:space="0" w:color="auto"/>
            <w:bottom w:val="none" w:sz="0" w:space="0" w:color="auto"/>
            <w:right w:val="none" w:sz="0" w:space="0" w:color="auto"/>
          </w:divBdr>
        </w:div>
        <w:div w:id="375617108">
          <w:marLeft w:val="0"/>
          <w:marRight w:val="0"/>
          <w:marTop w:val="0"/>
          <w:marBottom w:val="0"/>
          <w:divBdr>
            <w:top w:val="none" w:sz="0" w:space="0" w:color="auto"/>
            <w:left w:val="none" w:sz="0" w:space="0" w:color="auto"/>
            <w:bottom w:val="none" w:sz="0" w:space="0" w:color="auto"/>
            <w:right w:val="none" w:sz="0" w:space="0" w:color="auto"/>
          </w:divBdr>
        </w:div>
        <w:div w:id="531843360">
          <w:marLeft w:val="0"/>
          <w:marRight w:val="0"/>
          <w:marTop w:val="0"/>
          <w:marBottom w:val="0"/>
          <w:divBdr>
            <w:top w:val="none" w:sz="0" w:space="0" w:color="auto"/>
            <w:left w:val="none" w:sz="0" w:space="0" w:color="auto"/>
            <w:bottom w:val="none" w:sz="0" w:space="0" w:color="auto"/>
            <w:right w:val="none" w:sz="0" w:space="0" w:color="auto"/>
          </w:divBdr>
        </w:div>
        <w:div w:id="685327892">
          <w:marLeft w:val="0"/>
          <w:marRight w:val="0"/>
          <w:marTop w:val="0"/>
          <w:marBottom w:val="0"/>
          <w:divBdr>
            <w:top w:val="none" w:sz="0" w:space="0" w:color="auto"/>
            <w:left w:val="none" w:sz="0" w:space="0" w:color="auto"/>
            <w:bottom w:val="none" w:sz="0" w:space="0" w:color="auto"/>
            <w:right w:val="none" w:sz="0" w:space="0" w:color="auto"/>
          </w:divBdr>
        </w:div>
        <w:div w:id="794759349">
          <w:marLeft w:val="0"/>
          <w:marRight w:val="0"/>
          <w:marTop w:val="0"/>
          <w:marBottom w:val="0"/>
          <w:divBdr>
            <w:top w:val="none" w:sz="0" w:space="0" w:color="auto"/>
            <w:left w:val="none" w:sz="0" w:space="0" w:color="auto"/>
            <w:bottom w:val="none" w:sz="0" w:space="0" w:color="auto"/>
            <w:right w:val="none" w:sz="0" w:space="0" w:color="auto"/>
          </w:divBdr>
        </w:div>
        <w:div w:id="862668955">
          <w:marLeft w:val="0"/>
          <w:marRight w:val="0"/>
          <w:marTop w:val="0"/>
          <w:marBottom w:val="0"/>
          <w:divBdr>
            <w:top w:val="none" w:sz="0" w:space="0" w:color="auto"/>
            <w:left w:val="none" w:sz="0" w:space="0" w:color="auto"/>
            <w:bottom w:val="none" w:sz="0" w:space="0" w:color="auto"/>
            <w:right w:val="none" w:sz="0" w:space="0" w:color="auto"/>
          </w:divBdr>
        </w:div>
        <w:div w:id="946736323">
          <w:marLeft w:val="0"/>
          <w:marRight w:val="0"/>
          <w:marTop w:val="0"/>
          <w:marBottom w:val="0"/>
          <w:divBdr>
            <w:top w:val="none" w:sz="0" w:space="0" w:color="auto"/>
            <w:left w:val="none" w:sz="0" w:space="0" w:color="auto"/>
            <w:bottom w:val="none" w:sz="0" w:space="0" w:color="auto"/>
            <w:right w:val="none" w:sz="0" w:space="0" w:color="auto"/>
          </w:divBdr>
        </w:div>
        <w:div w:id="1066684068">
          <w:marLeft w:val="0"/>
          <w:marRight w:val="0"/>
          <w:marTop w:val="0"/>
          <w:marBottom w:val="0"/>
          <w:divBdr>
            <w:top w:val="none" w:sz="0" w:space="0" w:color="auto"/>
            <w:left w:val="none" w:sz="0" w:space="0" w:color="auto"/>
            <w:bottom w:val="none" w:sz="0" w:space="0" w:color="auto"/>
            <w:right w:val="none" w:sz="0" w:space="0" w:color="auto"/>
          </w:divBdr>
        </w:div>
        <w:div w:id="1149900575">
          <w:marLeft w:val="0"/>
          <w:marRight w:val="0"/>
          <w:marTop w:val="0"/>
          <w:marBottom w:val="0"/>
          <w:divBdr>
            <w:top w:val="none" w:sz="0" w:space="0" w:color="auto"/>
            <w:left w:val="none" w:sz="0" w:space="0" w:color="auto"/>
            <w:bottom w:val="none" w:sz="0" w:space="0" w:color="auto"/>
            <w:right w:val="none" w:sz="0" w:space="0" w:color="auto"/>
          </w:divBdr>
        </w:div>
        <w:div w:id="1202548010">
          <w:marLeft w:val="0"/>
          <w:marRight w:val="0"/>
          <w:marTop w:val="0"/>
          <w:marBottom w:val="0"/>
          <w:divBdr>
            <w:top w:val="none" w:sz="0" w:space="0" w:color="auto"/>
            <w:left w:val="none" w:sz="0" w:space="0" w:color="auto"/>
            <w:bottom w:val="none" w:sz="0" w:space="0" w:color="auto"/>
            <w:right w:val="none" w:sz="0" w:space="0" w:color="auto"/>
          </w:divBdr>
        </w:div>
        <w:div w:id="1204487202">
          <w:marLeft w:val="0"/>
          <w:marRight w:val="0"/>
          <w:marTop w:val="0"/>
          <w:marBottom w:val="0"/>
          <w:divBdr>
            <w:top w:val="none" w:sz="0" w:space="0" w:color="auto"/>
            <w:left w:val="none" w:sz="0" w:space="0" w:color="auto"/>
            <w:bottom w:val="none" w:sz="0" w:space="0" w:color="auto"/>
            <w:right w:val="none" w:sz="0" w:space="0" w:color="auto"/>
          </w:divBdr>
        </w:div>
        <w:div w:id="1239361282">
          <w:marLeft w:val="0"/>
          <w:marRight w:val="0"/>
          <w:marTop w:val="0"/>
          <w:marBottom w:val="0"/>
          <w:divBdr>
            <w:top w:val="none" w:sz="0" w:space="0" w:color="auto"/>
            <w:left w:val="none" w:sz="0" w:space="0" w:color="auto"/>
            <w:bottom w:val="none" w:sz="0" w:space="0" w:color="auto"/>
            <w:right w:val="none" w:sz="0" w:space="0" w:color="auto"/>
          </w:divBdr>
        </w:div>
        <w:div w:id="1316181687">
          <w:marLeft w:val="0"/>
          <w:marRight w:val="0"/>
          <w:marTop w:val="0"/>
          <w:marBottom w:val="0"/>
          <w:divBdr>
            <w:top w:val="none" w:sz="0" w:space="0" w:color="auto"/>
            <w:left w:val="none" w:sz="0" w:space="0" w:color="auto"/>
            <w:bottom w:val="none" w:sz="0" w:space="0" w:color="auto"/>
            <w:right w:val="none" w:sz="0" w:space="0" w:color="auto"/>
          </w:divBdr>
        </w:div>
        <w:div w:id="1370299699">
          <w:marLeft w:val="0"/>
          <w:marRight w:val="0"/>
          <w:marTop w:val="0"/>
          <w:marBottom w:val="0"/>
          <w:divBdr>
            <w:top w:val="none" w:sz="0" w:space="0" w:color="auto"/>
            <w:left w:val="none" w:sz="0" w:space="0" w:color="auto"/>
            <w:bottom w:val="none" w:sz="0" w:space="0" w:color="auto"/>
            <w:right w:val="none" w:sz="0" w:space="0" w:color="auto"/>
          </w:divBdr>
        </w:div>
        <w:div w:id="1626235813">
          <w:marLeft w:val="0"/>
          <w:marRight w:val="0"/>
          <w:marTop w:val="0"/>
          <w:marBottom w:val="0"/>
          <w:divBdr>
            <w:top w:val="none" w:sz="0" w:space="0" w:color="auto"/>
            <w:left w:val="none" w:sz="0" w:space="0" w:color="auto"/>
            <w:bottom w:val="none" w:sz="0" w:space="0" w:color="auto"/>
            <w:right w:val="none" w:sz="0" w:space="0" w:color="auto"/>
          </w:divBdr>
        </w:div>
        <w:div w:id="1798798756">
          <w:marLeft w:val="0"/>
          <w:marRight w:val="0"/>
          <w:marTop w:val="0"/>
          <w:marBottom w:val="0"/>
          <w:divBdr>
            <w:top w:val="none" w:sz="0" w:space="0" w:color="auto"/>
            <w:left w:val="none" w:sz="0" w:space="0" w:color="auto"/>
            <w:bottom w:val="none" w:sz="0" w:space="0" w:color="auto"/>
            <w:right w:val="none" w:sz="0" w:space="0" w:color="auto"/>
          </w:divBdr>
        </w:div>
        <w:div w:id="1928270255">
          <w:marLeft w:val="0"/>
          <w:marRight w:val="0"/>
          <w:marTop w:val="0"/>
          <w:marBottom w:val="0"/>
          <w:divBdr>
            <w:top w:val="none" w:sz="0" w:space="0" w:color="auto"/>
            <w:left w:val="none" w:sz="0" w:space="0" w:color="auto"/>
            <w:bottom w:val="none" w:sz="0" w:space="0" w:color="auto"/>
            <w:right w:val="none" w:sz="0" w:space="0" w:color="auto"/>
          </w:divBdr>
        </w:div>
        <w:div w:id="1992827995">
          <w:marLeft w:val="0"/>
          <w:marRight w:val="0"/>
          <w:marTop w:val="0"/>
          <w:marBottom w:val="0"/>
          <w:divBdr>
            <w:top w:val="none" w:sz="0" w:space="0" w:color="auto"/>
            <w:left w:val="none" w:sz="0" w:space="0" w:color="auto"/>
            <w:bottom w:val="none" w:sz="0" w:space="0" w:color="auto"/>
            <w:right w:val="none" w:sz="0" w:space="0" w:color="auto"/>
          </w:divBdr>
        </w:div>
        <w:div w:id="2065062659">
          <w:marLeft w:val="0"/>
          <w:marRight w:val="0"/>
          <w:marTop w:val="0"/>
          <w:marBottom w:val="0"/>
          <w:divBdr>
            <w:top w:val="none" w:sz="0" w:space="0" w:color="auto"/>
            <w:left w:val="none" w:sz="0" w:space="0" w:color="auto"/>
            <w:bottom w:val="none" w:sz="0" w:space="0" w:color="auto"/>
            <w:right w:val="none" w:sz="0" w:space="0" w:color="auto"/>
          </w:divBdr>
        </w:div>
        <w:div w:id="2111505487">
          <w:marLeft w:val="0"/>
          <w:marRight w:val="0"/>
          <w:marTop w:val="0"/>
          <w:marBottom w:val="0"/>
          <w:divBdr>
            <w:top w:val="none" w:sz="0" w:space="0" w:color="auto"/>
            <w:left w:val="none" w:sz="0" w:space="0" w:color="auto"/>
            <w:bottom w:val="none" w:sz="0" w:space="0" w:color="auto"/>
            <w:right w:val="none" w:sz="0" w:space="0" w:color="auto"/>
          </w:divBdr>
        </w:div>
      </w:divsChild>
    </w:div>
    <w:div w:id="1671519358">
      <w:bodyDiv w:val="1"/>
      <w:marLeft w:val="0"/>
      <w:marRight w:val="0"/>
      <w:marTop w:val="0"/>
      <w:marBottom w:val="0"/>
      <w:divBdr>
        <w:top w:val="none" w:sz="0" w:space="0" w:color="auto"/>
        <w:left w:val="none" w:sz="0" w:space="0" w:color="auto"/>
        <w:bottom w:val="none" w:sz="0" w:space="0" w:color="auto"/>
        <w:right w:val="none" w:sz="0" w:space="0" w:color="auto"/>
      </w:divBdr>
      <w:divsChild>
        <w:div w:id="983856813">
          <w:marLeft w:val="0"/>
          <w:marRight w:val="0"/>
          <w:marTop w:val="0"/>
          <w:marBottom w:val="0"/>
          <w:divBdr>
            <w:top w:val="none" w:sz="0" w:space="0" w:color="auto"/>
            <w:left w:val="none" w:sz="0" w:space="0" w:color="auto"/>
            <w:bottom w:val="none" w:sz="0" w:space="0" w:color="auto"/>
            <w:right w:val="none" w:sz="0" w:space="0" w:color="auto"/>
          </w:divBdr>
        </w:div>
        <w:div w:id="1746103055">
          <w:marLeft w:val="0"/>
          <w:marRight w:val="0"/>
          <w:marTop w:val="0"/>
          <w:marBottom w:val="0"/>
          <w:divBdr>
            <w:top w:val="none" w:sz="0" w:space="0" w:color="auto"/>
            <w:left w:val="none" w:sz="0" w:space="0" w:color="auto"/>
            <w:bottom w:val="none" w:sz="0" w:space="0" w:color="auto"/>
            <w:right w:val="none" w:sz="0" w:space="0" w:color="auto"/>
          </w:divBdr>
        </w:div>
      </w:divsChild>
    </w:div>
    <w:div w:id="1702243892">
      <w:bodyDiv w:val="1"/>
      <w:marLeft w:val="0"/>
      <w:marRight w:val="0"/>
      <w:marTop w:val="0"/>
      <w:marBottom w:val="0"/>
      <w:divBdr>
        <w:top w:val="none" w:sz="0" w:space="0" w:color="auto"/>
        <w:left w:val="none" w:sz="0" w:space="0" w:color="auto"/>
        <w:bottom w:val="none" w:sz="0" w:space="0" w:color="auto"/>
        <w:right w:val="none" w:sz="0" w:space="0" w:color="auto"/>
      </w:divBdr>
      <w:divsChild>
        <w:div w:id="1756630463">
          <w:marLeft w:val="0"/>
          <w:marRight w:val="0"/>
          <w:marTop w:val="0"/>
          <w:marBottom w:val="0"/>
          <w:divBdr>
            <w:top w:val="none" w:sz="0" w:space="0" w:color="auto"/>
            <w:left w:val="none" w:sz="0" w:space="0" w:color="auto"/>
            <w:bottom w:val="none" w:sz="0" w:space="0" w:color="auto"/>
            <w:right w:val="none" w:sz="0" w:space="0" w:color="auto"/>
          </w:divBdr>
        </w:div>
        <w:div w:id="1791975457">
          <w:marLeft w:val="0"/>
          <w:marRight w:val="0"/>
          <w:marTop w:val="0"/>
          <w:marBottom w:val="0"/>
          <w:divBdr>
            <w:top w:val="none" w:sz="0" w:space="0" w:color="auto"/>
            <w:left w:val="none" w:sz="0" w:space="0" w:color="auto"/>
            <w:bottom w:val="none" w:sz="0" w:space="0" w:color="auto"/>
            <w:right w:val="none" w:sz="0" w:space="0" w:color="auto"/>
          </w:divBdr>
        </w:div>
        <w:div w:id="2010327202">
          <w:marLeft w:val="0"/>
          <w:marRight w:val="0"/>
          <w:marTop w:val="0"/>
          <w:marBottom w:val="0"/>
          <w:divBdr>
            <w:top w:val="none" w:sz="0" w:space="0" w:color="auto"/>
            <w:left w:val="none" w:sz="0" w:space="0" w:color="auto"/>
            <w:bottom w:val="none" w:sz="0" w:space="0" w:color="auto"/>
            <w:right w:val="none" w:sz="0" w:space="0" w:color="auto"/>
          </w:divBdr>
        </w:div>
      </w:divsChild>
    </w:div>
    <w:div w:id="1873879566">
      <w:bodyDiv w:val="1"/>
      <w:marLeft w:val="0"/>
      <w:marRight w:val="0"/>
      <w:marTop w:val="0"/>
      <w:marBottom w:val="0"/>
      <w:divBdr>
        <w:top w:val="none" w:sz="0" w:space="0" w:color="auto"/>
        <w:left w:val="none" w:sz="0" w:space="0" w:color="auto"/>
        <w:bottom w:val="none" w:sz="0" w:space="0" w:color="auto"/>
        <w:right w:val="none" w:sz="0" w:space="0" w:color="auto"/>
      </w:divBdr>
      <w:divsChild>
        <w:div w:id="954751689">
          <w:marLeft w:val="0"/>
          <w:marRight w:val="0"/>
          <w:marTop w:val="0"/>
          <w:marBottom w:val="0"/>
          <w:divBdr>
            <w:top w:val="none" w:sz="0" w:space="0" w:color="auto"/>
            <w:left w:val="none" w:sz="0" w:space="0" w:color="auto"/>
            <w:bottom w:val="none" w:sz="0" w:space="0" w:color="auto"/>
            <w:right w:val="none" w:sz="0" w:space="0" w:color="auto"/>
          </w:divBdr>
        </w:div>
      </w:divsChild>
    </w:div>
    <w:div w:id="2124491180">
      <w:bodyDiv w:val="1"/>
      <w:marLeft w:val="0"/>
      <w:marRight w:val="0"/>
      <w:marTop w:val="0"/>
      <w:marBottom w:val="0"/>
      <w:divBdr>
        <w:top w:val="none" w:sz="0" w:space="0" w:color="auto"/>
        <w:left w:val="none" w:sz="0" w:space="0" w:color="auto"/>
        <w:bottom w:val="none" w:sz="0" w:space="0" w:color="auto"/>
        <w:right w:val="none" w:sz="0" w:space="0" w:color="auto"/>
      </w:divBdr>
    </w:div>
    <w:div w:id="2131197785">
      <w:bodyDiv w:val="1"/>
      <w:marLeft w:val="0"/>
      <w:marRight w:val="0"/>
      <w:marTop w:val="0"/>
      <w:marBottom w:val="0"/>
      <w:divBdr>
        <w:top w:val="none" w:sz="0" w:space="0" w:color="auto"/>
        <w:left w:val="none" w:sz="0" w:space="0" w:color="auto"/>
        <w:bottom w:val="none" w:sz="0" w:space="0" w:color="auto"/>
        <w:right w:val="none" w:sz="0" w:space="0" w:color="auto"/>
      </w:divBdr>
      <w:divsChild>
        <w:div w:id="116990037">
          <w:marLeft w:val="0"/>
          <w:marRight w:val="0"/>
          <w:marTop w:val="0"/>
          <w:marBottom w:val="0"/>
          <w:divBdr>
            <w:top w:val="none" w:sz="0" w:space="0" w:color="auto"/>
            <w:left w:val="none" w:sz="0" w:space="0" w:color="auto"/>
            <w:bottom w:val="none" w:sz="0" w:space="0" w:color="auto"/>
            <w:right w:val="none" w:sz="0" w:space="0" w:color="auto"/>
          </w:divBdr>
        </w:div>
        <w:div w:id="1200625999">
          <w:marLeft w:val="0"/>
          <w:marRight w:val="0"/>
          <w:marTop w:val="0"/>
          <w:marBottom w:val="0"/>
          <w:divBdr>
            <w:top w:val="none" w:sz="0" w:space="0" w:color="auto"/>
            <w:left w:val="none" w:sz="0" w:space="0" w:color="auto"/>
            <w:bottom w:val="none" w:sz="0" w:space="0" w:color="auto"/>
            <w:right w:val="none" w:sz="0" w:space="0" w:color="auto"/>
          </w:divBdr>
        </w:div>
        <w:div w:id="1477409979">
          <w:marLeft w:val="0"/>
          <w:marRight w:val="0"/>
          <w:marTop w:val="0"/>
          <w:marBottom w:val="0"/>
          <w:divBdr>
            <w:top w:val="none" w:sz="0" w:space="0" w:color="auto"/>
            <w:left w:val="none" w:sz="0" w:space="0" w:color="auto"/>
            <w:bottom w:val="none" w:sz="0" w:space="0" w:color="auto"/>
            <w:right w:val="none" w:sz="0" w:space="0" w:color="auto"/>
          </w:divBdr>
        </w:div>
        <w:div w:id="1831167786">
          <w:marLeft w:val="0"/>
          <w:marRight w:val="0"/>
          <w:marTop w:val="0"/>
          <w:marBottom w:val="0"/>
          <w:divBdr>
            <w:top w:val="none" w:sz="0" w:space="0" w:color="auto"/>
            <w:left w:val="none" w:sz="0" w:space="0" w:color="auto"/>
            <w:bottom w:val="none" w:sz="0" w:space="0" w:color="auto"/>
            <w:right w:val="none" w:sz="0" w:space="0" w:color="auto"/>
          </w:divBdr>
        </w:div>
      </w:divsChild>
    </w:div>
    <w:div w:id="2143306138">
      <w:bodyDiv w:val="1"/>
      <w:marLeft w:val="0"/>
      <w:marRight w:val="0"/>
      <w:marTop w:val="0"/>
      <w:marBottom w:val="0"/>
      <w:divBdr>
        <w:top w:val="none" w:sz="0" w:space="0" w:color="auto"/>
        <w:left w:val="none" w:sz="0" w:space="0" w:color="auto"/>
        <w:bottom w:val="none" w:sz="0" w:space="0" w:color="auto"/>
        <w:right w:val="none" w:sz="0" w:space="0" w:color="auto"/>
      </w:divBdr>
      <w:divsChild>
        <w:div w:id="411857514">
          <w:marLeft w:val="0"/>
          <w:marRight w:val="0"/>
          <w:marTop w:val="0"/>
          <w:marBottom w:val="0"/>
          <w:divBdr>
            <w:top w:val="none" w:sz="0" w:space="0" w:color="auto"/>
            <w:left w:val="none" w:sz="0" w:space="0" w:color="auto"/>
            <w:bottom w:val="none" w:sz="0" w:space="0" w:color="auto"/>
            <w:right w:val="none" w:sz="0" w:space="0" w:color="auto"/>
          </w:divBdr>
        </w:div>
        <w:div w:id="528881106">
          <w:marLeft w:val="0"/>
          <w:marRight w:val="0"/>
          <w:marTop w:val="0"/>
          <w:marBottom w:val="0"/>
          <w:divBdr>
            <w:top w:val="none" w:sz="0" w:space="0" w:color="auto"/>
            <w:left w:val="none" w:sz="0" w:space="0" w:color="auto"/>
            <w:bottom w:val="none" w:sz="0" w:space="0" w:color="auto"/>
            <w:right w:val="none" w:sz="0" w:space="0" w:color="auto"/>
          </w:divBdr>
        </w:div>
        <w:div w:id="842016233">
          <w:marLeft w:val="0"/>
          <w:marRight w:val="0"/>
          <w:marTop w:val="0"/>
          <w:marBottom w:val="0"/>
          <w:divBdr>
            <w:top w:val="none" w:sz="0" w:space="0" w:color="auto"/>
            <w:left w:val="none" w:sz="0" w:space="0" w:color="auto"/>
            <w:bottom w:val="none" w:sz="0" w:space="0" w:color="auto"/>
            <w:right w:val="none" w:sz="0" w:space="0" w:color="auto"/>
          </w:divBdr>
        </w:div>
        <w:div w:id="945312516">
          <w:marLeft w:val="0"/>
          <w:marRight w:val="0"/>
          <w:marTop w:val="0"/>
          <w:marBottom w:val="0"/>
          <w:divBdr>
            <w:top w:val="none" w:sz="0" w:space="0" w:color="auto"/>
            <w:left w:val="none" w:sz="0" w:space="0" w:color="auto"/>
            <w:bottom w:val="none" w:sz="0" w:space="0" w:color="auto"/>
            <w:right w:val="none" w:sz="0" w:space="0" w:color="auto"/>
          </w:divBdr>
        </w:div>
        <w:div w:id="1106727465">
          <w:marLeft w:val="0"/>
          <w:marRight w:val="0"/>
          <w:marTop w:val="0"/>
          <w:marBottom w:val="0"/>
          <w:divBdr>
            <w:top w:val="none" w:sz="0" w:space="0" w:color="auto"/>
            <w:left w:val="none" w:sz="0" w:space="0" w:color="auto"/>
            <w:bottom w:val="none" w:sz="0" w:space="0" w:color="auto"/>
            <w:right w:val="none" w:sz="0" w:space="0" w:color="auto"/>
          </w:divBdr>
        </w:div>
        <w:div w:id="1265648481">
          <w:marLeft w:val="0"/>
          <w:marRight w:val="0"/>
          <w:marTop w:val="0"/>
          <w:marBottom w:val="0"/>
          <w:divBdr>
            <w:top w:val="none" w:sz="0" w:space="0" w:color="auto"/>
            <w:left w:val="none" w:sz="0" w:space="0" w:color="auto"/>
            <w:bottom w:val="none" w:sz="0" w:space="0" w:color="auto"/>
            <w:right w:val="none" w:sz="0" w:space="0" w:color="auto"/>
          </w:divBdr>
        </w:div>
        <w:div w:id="1886021367">
          <w:marLeft w:val="0"/>
          <w:marRight w:val="0"/>
          <w:marTop w:val="0"/>
          <w:marBottom w:val="0"/>
          <w:divBdr>
            <w:top w:val="none" w:sz="0" w:space="0" w:color="auto"/>
            <w:left w:val="none" w:sz="0" w:space="0" w:color="auto"/>
            <w:bottom w:val="none" w:sz="0" w:space="0" w:color="auto"/>
            <w:right w:val="none" w:sz="0" w:space="0" w:color="auto"/>
          </w:divBdr>
        </w:div>
        <w:div w:id="1889293801">
          <w:marLeft w:val="0"/>
          <w:marRight w:val="0"/>
          <w:marTop w:val="0"/>
          <w:marBottom w:val="0"/>
          <w:divBdr>
            <w:top w:val="none" w:sz="0" w:space="0" w:color="auto"/>
            <w:left w:val="none" w:sz="0" w:space="0" w:color="auto"/>
            <w:bottom w:val="none" w:sz="0" w:space="0" w:color="auto"/>
            <w:right w:val="none" w:sz="0" w:space="0" w:color="auto"/>
          </w:divBdr>
        </w:div>
        <w:div w:id="192618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36A87826006448A9FE8C6DC279F299" ma:contentTypeVersion="4" ma:contentTypeDescription="Create a new document." ma:contentTypeScope="" ma:versionID="087545a6dae0bd6d7fddd0f0f0789d87">
  <xsd:schema xmlns:xsd="http://www.w3.org/2001/XMLSchema" xmlns:xs="http://www.w3.org/2001/XMLSchema" xmlns:p="http://schemas.microsoft.com/office/2006/metadata/properties" xmlns:ns3="05c29bad-222d-4652-86ec-9049bdeb16e0" targetNamespace="http://schemas.microsoft.com/office/2006/metadata/properties" ma:root="true" ma:fieldsID="41b96dda32d10ecaf72e8a4a615b904c" ns3:_="">
    <xsd:import namespace="05c29bad-222d-4652-86ec-9049bdeb16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9bad-222d-4652-86ec-9049bdeb1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2C514-5537-4B59-B402-0262E966F2BE}">
  <ds:schemaRefs>
    <ds:schemaRef ds:uri="http://schemas.openxmlformats.org/officeDocument/2006/bibliography"/>
  </ds:schemaRefs>
</ds:datastoreItem>
</file>

<file path=customXml/itemProps2.xml><?xml version="1.0" encoding="utf-8"?>
<ds:datastoreItem xmlns:ds="http://schemas.openxmlformats.org/officeDocument/2006/customXml" ds:itemID="{A93475C4-E535-4931-8B71-9435EA39AC8A}">
  <ds:schemaRefs>
    <ds:schemaRef ds:uri="http://schemas.microsoft.com/sharepoint/v3/contenttype/forms"/>
  </ds:schemaRefs>
</ds:datastoreItem>
</file>

<file path=customXml/itemProps3.xml><?xml version="1.0" encoding="utf-8"?>
<ds:datastoreItem xmlns:ds="http://schemas.openxmlformats.org/officeDocument/2006/customXml" ds:itemID="{E6D9147D-02B6-4DAB-A4D1-D4670FA105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99E12-1918-4703-B459-7DEB2ED4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29bad-222d-4652-86ec-9049bdeb1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South Australia’s Youth Justice State Plan 2020 to 2023</vt:lpstr>
    </vt:vector>
  </TitlesOfParts>
  <Company/>
  <LinksUpToDate>false</LinksUpToDate>
  <CharactersWithSpaces>23954</CharactersWithSpaces>
  <SharedDoc>false</SharedDoc>
  <HLinks>
    <vt:vector size="90" baseType="variant">
      <vt:variant>
        <vt:i4>1376317</vt:i4>
      </vt:variant>
      <vt:variant>
        <vt:i4>80</vt:i4>
      </vt:variant>
      <vt:variant>
        <vt:i4>0</vt:i4>
      </vt:variant>
      <vt:variant>
        <vt:i4>5</vt:i4>
      </vt:variant>
      <vt:variant>
        <vt:lpwstr/>
      </vt:variant>
      <vt:variant>
        <vt:lpwstr>_Toc36814421</vt:lpwstr>
      </vt:variant>
      <vt:variant>
        <vt:i4>1310781</vt:i4>
      </vt:variant>
      <vt:variant>
        <vt:i4>74</vt:i4>
      </vt:variant>
      <vt:variant>
        <vt:i4>0</vt:i4>
      </vt:variant>
      <vt:variant>
        <vt:i4>5</vt:i4>
      </vt:variant>
      <vt:variant>
        <vt:lpwstr/>
      </vt:variant>
      <vt:variant>
        <vt:lpwstr>_Toc36814420</vt:lpwstr>
      </vt:variant>
      <vt:variant>
        <vt:i4>1900606</vt:i4>
      </vt:variant>
      <vt:variant>
        <vt:i4>68</vt:i4>
      </vt:variant>
      <vt:variant>
        <vt:i4>0</vt:i4>
      </vt:variant>
      <vt:variant>
        <vt:i4>5</vt:i4>
      </vt:variant>
      <vt:variant>
        <vt:lpwstr/>
      </vt:variant>
      <vt:variant>
        <vt:lpwstr>_Toc36814419</vt:lpwstr>
      </vt:variant>
      <vt:variant>
        <vt:i4>1835070</vt:i4>
      </vt:variant>
      <vt:variant>
        <vt:i4>62</vt:i4>
      </vt:variant>
      <vt:variant>
        <vt:i4>0</vt:i4>
      </vt:variant>
      <vt:variant>
        <vt:i4>5</vt:i4>
      </vt:variant>
      <vt:variant>
        <vt:lpwstr/>
      </vt:variant>
      <vt:variant>
        <vt:lpwstr>_Toc36814418</vt:lpwstr>
      </vt:variant>
      <vt:variant>
        <vt:i4>1245246</vt:i4>
      </vt:variant>
      <vt:variant>
        <vt:i4>56</vt:i4>
      </vt:variant>
      <vt:variant>
        <vt:i4>0</vt:i4>
      </vt:variant>
      <vt:variant>
        <vt:i4>5</vt:i4>
      </vt:variant>
      <vt:variant>
        <vt:lpwstr/>
      </vt:variant>
      <vt:variant>
        <vt:lpwstr>_Toc36814417</vt:lpwstr>
      </vt:variant>
      <vt:variant>
        <vt:i4>1179710</vt:i4>
      </vt:variant>
      <vt:variant>
        <vt:i4>50</vt:i4>
      </vt:variant>
      <vt:variant>
        <vt:i4>0</vt:i4>
      </vt:variant>
      <vt:variant>
        <vt:i4>5</vt:i4>
      </vt:variant>
      <vt:variant>
        <vt:lpwstr/>
      </vt:variant>
      <vt:variant>
        <vt:lpwstr>_Toc36814416</vt:lpwstr>
      </vt:variant>
      <vt:variant>
        <vt:i4>1114174</vt:i4>
      </vt:variant>
      <vt:variant>
        <vt:i4>44</vt:i4>
      </vt:variant>
      <vt:variant>
        <vt:i4>0</vt:i4>
      </vt:variant>
      <vt:variant>
        <vt:i4>5</vt:i4>
      </vt:variant>
      <vt:variant>
        <vt:lpwstr/>
      </vt:variant>
      <vt:variant>
        <vt:lpwstr>_Toc36814415</vt:lpwstr>
      </vt:variant>
      <vt:variant>
        <vt:i4>1048638</vt:i4>
      </vt:variant>
      <vt:variant>
        <vt:i4>38</vt:i4>
      </vt:variant>
      <vt:variant>
        <vt:i4>0</vt:i4>
      </vt:variant>
      <vt:variant>
        <vt:i4>5</vt:i4>
      </vt:variant>
      <vt:variant>
        <vt:lpwstr/>
      </vt:variant>
      <vt:variant>
        <vt:lpwstr>_Toc36814414</vt:lpwstr>
      </vt:variant>
      <vt:variant>
        <vt:i4>1507390</vt:i4>
      </vt:variant>
      <vt:variant>
        <vt:i4>32</vt:i4>
      </vt:variant>
      <vt:variant>
        <vt:i4>0</vt:i4>
      </vt:variant>
      <vt:variant>
        <vt:i4>5</vt:i4>
      </vt:variant>
      <vt:variant>
        <vt:lpwstr/>
      </vt:variant>
      <vt:variant>
        <vt:lpwstr>_Toc36814413</vt:lpwstr>
      </vt:variant>
      <vt:variant>
        <vt:i4>1441854</vt:i4>
      </vt:variant>
      <vt:variant>
        <vt:i4>26</vt:i4>
      </vt:variant>
      <vt:variant>
        <vt:i4>0</vt:i4>
      </vt:variant>
      <vt:variant>
        <vt:i4>5</vt:i4>
      </vt:variant>
      <vt:variant>
        <vt:lpwstr/>
      </vt:variant>
      <vt:variant>
        <vt:lpwstr>_Toc36814412</vt:lpwstr>
      </vt:variant>
      <vt:variant>
        <vt:i4>1376318</vt:i4>
      </vt:variant>
      <vt:variant>
        <vt:i4>20</vt:i4>
      </vt:variant>
      <vt:variant>
        <vt:i4>0</vt:i4>
      </vt:variant>
      <vt:variant>
        <vt:i4>5</vt:i4>
      </vt:variant>
      <vt:variant>
        <vt:lpwstr/>
      </vt:variant>
      <vt:variant>
        <vt:lpwstr>_Toc36814411</vt:lpwstr>
      </vt:variant>
      <vt:variant>
        <vt:i4>1310782</vt:i4>
      </vt:variant>
      <vt:variant>
        <vt:i4>14</vt:i4>
      </vt:variant>
      <vt:variant>
        <vt:i4>0</vt:i4>
      </vt:variant>
      <vt:variant>
        <vt:i4>5</vt:i4>
      </vt:variant>
      <vt:variant>
        <vt:lpwstr/>
      </vt:variant>
      <vt:variant>
        <vt:lpwstr>_Toc36814410</vt:lpwstr>
      </vt:variant>
      <vt:variant>
        <vt:i4>1900607</vt:i4>
      </vt:variant>
      <vt:variant>
        <vt:i4>8</vt:i4>
      </vt:variant>
      <vt:variant>
        <vt:i4>0</vt:i4>
      </vt:variant>
      <vt:variant>
        <vt:i4>5</vt:i4>
      </vt:variant>
      <vt:variant>
        <vt:lpwstr/>
      </vt:variant>
      <vt:variant>
        <vt:lpwstr>_Toc36814409</vt:lpwstr>
      </vt:variant>
      <vt:variant>
        <vt:i4>1835071</vt:i4>
      </vt:variant>
      <vt:variant>
        <vt:i4>2</vt:i4>
      </vt:variant>
      <vt:variant>
        <vt:i4>0</vt:i4>
      </vt:variant>
      <vt:variant>
        <vt:i4>5</vt:i4>
      </vt:variant>
      <vt:variant>
        <vt:lpwstr/>
      </vt:variant>
      <vt:variant>
        <vt:lpwstr>_Toc36814408</vt:lpwstr>
      </vt:variant>
      <vt:variant>
        <vt:i4>7667748</vt:i4>
      </vt:variant>
      <vt:variant>
        <vt:i4>0</vt:i4>
      </vt:variant>
      <vt:variant>
        <vt:i4>0</vt:i4>
      </vt:variant>
      <vt:variant>
        <vt:i4>5</vt:i4>
      </vt:variant>
      <vt:variant>
        <vt:lpwstr>https://www.humanrights.gov.au/about/news/childrens-rights-must-come-first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Australia’s Youth Justice State Plan Delivery Plan Progress Report June 2021</dc:title>
  <dc:subject/>
  <dc:creator/>
  <cp:keywords>Progress Report</cp:keywords>
  <dc:description>June 2021</dc:description>
  <cp:lastModifiedBy>Edwards, Stephanie (DHS)</cp:lastModifiedBy>
  <cp:revision>18</cp:revision>
  <cp:lastPrinted>2020-03-21T00:53:00Z</cp:lastPrinted>
  <dcterms:created xsi:type="dcterms:W3CDTF">2021-06-21T02:46:00Z</dcterms:created>
  <dcterms:modified xsi:type="dcterms:W3CDTF">2021-06-21T03:26:00Z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0x010100A836A87826006448A9FE8C6DC279F299</vt:lpwstr>
  </property>
</Properties>
</file>