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FFA0" w14:textId="4A48F509" w:rsidR="0054143A" w:rsidRPr="001C1139" w:rsidRDefault="0054143A" w:rsidP="001C1139">
      <w:pPr>
        <w:pStyle w:val="Heading1"/>
        <w:rPr>
          <w:sz w:val="40"/>
          <w:szCs w:val="40"/>
        </w:rPr>
      </w:pPr>
      <w:r w:rsidRPr="001C1139">
        <w:rPr>
          <w:sz w:val="40"/>
          <w:szCs w:val="40"/>
        </w:rPr>
        <w:t>Department of Human Services</w:t>
      </w:r>
    </w:p>
    <w:p w14:paraId="17531634" w14:textId="32F7B964" w:rsidR="0084344D" w:rsidRDefault="003A465F" w:rsidP="001C1139">
      <w:pPr>
        <w:pStyle w:val="Heading1"/>
        <w:rPr>
          <w:sz w:val="96"/>
          <w:szCs w:val="96"/>
        </w:rPr>
      </w:pPr>
      <w:r w:rsidRPr="006B1DDD">
        <w:rPr>
          <w:sz w:val="96"/>
          <w:szCs w:val="96"/>
        </w:rPr>
        <w:t>Social Impact</w:t>
      </w:r>
      <w:r w:rsidRPr="00B46B48">
        <w:rPr>
          <w:color w:val="FF0000"/>
          <w:sz w:val="96"/>
          <w:szCs w:val="96"/>
        </w:rPr>
        <w:t xml:space="preserve"> </w:t>
      </w:r>
      <w:r w:rsidRPr="001C1139">
        <w:rPr>
          <w:sz w:val="96"/>
          <w:szCs w:val="96"/>
        </w:rPr>
        <w:t>Framework</w:t>
      </w:r>
    </w:p>
    <w:p w14:paraId="3F88F49D" w14:textId="6D6B068A" w:rsidR="001C1139" w:rsidRDefault="001C1139">
      <w:pPr>
        <w:rPr>
          <w:rFonts w:ascii="Arial" w:hAnsi="Arial" w:cs="Arial"/>
        </w:rPr>
      </w:pPr>
      <w:r>
        <w:rPr>
          <w:rFonts w:ascii="Arial" w:hAnsi="Arial" w:cs="Arial"/>
        </w:rPr>
        <w:br w:type="page"/>
      </w:r>
    </w:p>
    <w:p w14:paraId="71F1A986" w14:textId="3E0E2407" w:rsidR="003A465F" w:rsidRPr="001C1139" w:rsidRDefault="003A465F" w:rsidP="0074055F">
      <w:pPr>
        <w:pStyle w:val="Heading2"/>
      </w:pPr>
      <w:bookmarkStart w:id="0" w:name="_Toc94611857"/>
      <w:r w:rsidRPr="001C1139">
        <w:lastRenderedPageBreak/>
        <w:t>Contents</w:t>
      </w:r>
      <w:bookmarkEnd w:id="0"/>
    </w:p>
    <w:p w14:paraId="5D50015B" w14:textId="5CC1EFFB" w:rsidR="00C663E0" w:rsidRDefault="00C663E0" w:rsidP="00C663E0">
      <w:pPr>
        <w:pStyle w:val="TOC1"/>
        <w:tabs>
          <w:tab w:val="right" w:pos="6663"/>
        </w:tabs>
        <w:rPr>
          <w:noProof/>
        </w:rPr>
      </w:pPr>
      <w:r>
        <w:fldChar w:fldCharType="begin"/>
      </w:r>
      <w:r>
        <w:instrText xml:space="preserve"> TOC \h \z \u \t "Heading 2,1" </w:instrText>
      </w:r>
      <w:r>
        <w:fldChar w:fldCharType="separate"/>
      </w:r>
    </w:p>
    <w:p w14:paraId="6150DF97" w14:textId="0268999A" w:rsidR="00C663E0" w:rsidRDefault="00C663E0" w:rsidP="00C663E0">
      <w:pPr>
        <w:pStyle w:val="TOC1"/>
        <w:tabs>
          <w:tab w:val="right" w:pos="6096"/>
        </w:tabs>
        <w:rPr>
          <w:noProof/>
        </w:rPr>
      </w:pPr>
      <w:hyperlink w:anchor="_Toc94611858" w:history="1">
        <w:r w:rsidRPr="005A5FF7">
          <w:rPr>
            <w:rStyle w:val="Hyperlink"/>
            <w:noProof/>
          </w:rPr>
          <w:t>Acknowledgement of Country</w:t>
        </w:r>
        <w:r>
          <w:rPr>
            <w:noProof/>
            <w:webHidden/>
          </w:rPr>
          <w:tab/>
        </w:r>
        <w:r>
          <w:rPr>
            <w:noProof/>
            <w:webHidden/>
          </w:rPr>
          <w:fldChar w:fldCharType="begin"/>
        </w:r>
        <w:r>
          <w:rPr>
            <w:noProof/>
            <w:webHidden/>
          </w:rPr>
          <w:instrText xml:space="preserve"> PAGEREF _Toc94611858 \h </w:instrText>
        </w:r>
        <w:r>
          <w:rPr>
            <w:noProof/>
            <w:webHidden/>
          </w:rPr>
        </w:r>
        <w:r>
          <w:rPr>
            <w:noProof/>
            <w:webHidden/>
          </w:rPr>
          <w:fldChar w:fldCharType="separate"/>
        </w:r>
        <w:r>
          <w:rPr>
            <w:noProof/>
            <w:webHidden/>
          </w:rPr>
          <w:t>2</w:t>
        </w:r>
        <w:r>
          <w:rPr>
            <w:noProof/>
            <w:webHidden/>
          </w:rPr>
          <w:fldChar w:fldCharType="end"/>
        </w:r>
      </w:hyperlink>
    </w:p>
    <w:p w14:paraId="769E9465" w14:textId="14432C29" w:rsidR="00C663E0" w:rsidRDefault="00C663E0" w:rsidP="00C663E0">
      <w:pPr>
        <w:pStyle w:val="TOC1"/>
        <w:tabs>
          <w:tab w:val="right" w:pos="6096"/>
        </w:tabs>
        <w:rPr>
          <w:noProof/>
        </w:rPr>
      </w:pPr>
      <w:hyperlink w:anchor="_Toc94611859" w:history="1">
        <w:r w:rsidRPr="005A5FF7">
          <w:rPr>
            <w:rStyle w:val="Hyperlink"/>
            <w:noProof/>
          </w:rPr>
          <w:t>The Social Impact Framework</w:t>
        </w:r>
        <w:r>
          <w:rPr>
            <w:noProof/>
            <w:webHidden/>
          </w:rPr>
          <w:tab/>
        </w:r>
        <w:r>
          <w:rPr>
            <w:noProof/>
            <w:webHidden/>
          </w:rPr>
          <w:fldChar w:fldCharType="begin"/>
        </w:r>
        <w:r>
          <w:rPr>
            <w:noProof/>
            <w:webHidden/>
          </w:rPr>
          <w:instrText xml:space="preserve"> PAGEREF _Toc94611859 \h </w:instrText>
        </w:r>
        <w:r>
          <w:rPr>
            <w:noProof/>
            <w:webHidden/>
          </w:rPr>
        </w:r>
        <w:r>
          <w:rPr>
            <w:noProof/>
            <w:webHidden/>
          </w:rPr>
          <w:fldChar w:fldCharType="separate"/>
        </w:r>
        <w:r>
          <w:rPr>
            <w:noProof/>
            <w:webHidden/>
          </w:rPr>
          <w:t>3</w:t>
        </w:r>
        <w:r>
          <w:rPr>
            <w:noProof/>
            <w:webHidden/>
          </w:rPr>
          <w:fldChar w:fldCharType="end"/>
        </w:r>
      </w:hyperlink>
    </w:p>
    <w:p w14:paraId="3CAFE027" w14:textId="1854744C" w:rsidR="00C663E0" w:rsidRDefault="00C663E0" w:rsidP="00C663E0">
      <w:pPr>
        <w:pStyle w:val="TOC1"/>
        <w:tabs>
          <w:tab w:val="right" w:pos="6096"/>
        </w:tabs>
        <w:rPr>
          <w:noProof/>
        </w:rPr>
      </w:pPr>
      <w:hyperlink w:anchor="_Toc94611860" w:history="1">
        <w:r w:rsidRPr="005A5FF7">
          <w:rPr>
            <w:rStyle w:val="Hyperlink"/>
            <w:noProof/>
          </w:rPr>
          <w:t>How was the framework developed?</w:t>
        </w:r>
        <w:r>
          <w:rPr>
            <w:noProof/>
            <w:webHidden/>
          </w:rPr>
          <w:tab/>
        </w:r>
        <w:r>
          <w:rPr>
            <w:noProof/>
            <w:webHidden/>
          </w:rPr>
          <w:fldChar w:fldCharType="begin"/>
        </w:r>
        <w:r>
          <w:rPr>
            <w:noProof/>
            <w:webHidden/>
          </w:rPr>
          <w:instrText xml:space="preserve"> PAGEREF _Toc94611860 \h </w:instrText>
        </w:r>
        <w:r>
          <w:rPr>
            <w:noProof/>
            <w:webHidden/>
          </w:rPr>
        </w:r>
        <w:r>
          <w:rPr>
            <w:noProof/>
            <w:webHidden/>
          </w:rPr>
          <w:fldChar w:fldCharType="separate"/>
        </w:r>
        <w:r>
          <w:rPr>
            <w:noProof/>
            <w:webHidden/>
          </w:rPr>
          <w:t>3</w:t>
        </w:r>
        <w:r>
          <w:rPr>
            <w:noProof/>
            <w:webHidden/>
          </w:rPr>
          <w:fldChar w:fldCharType="end"/>
        </w:r>
      </w:hyperlink>
    </w:p>
    <w:p w14:paraId="4236FC94" w14:textId="11B9B75F" w:rsidR="00C663E0" w:rsidRDefault="00C663E0" w:rsidP="00C663E0">
      <w:pPr>
        <w:pStyle w:val="TOC1"/>
        <w:tabs>
          <w:tab w:val="right" w:pos="6096"/>
        </w:tabs>
        <w:rPr>
          <w:noProof/>
        </w:rPr>
      </w:pPr>
      <w:hyperlink w:anchor="_Toc94611861" w:history="1">
        <w:r w:rsidRPr="005A5FF7">
          <w:rPr>
            <w:rStyle w:val="Hyperlink"/>
            <w:noProof/>
          </w:rPr>
          <w:t>Sector consultation</w:t>
        </w:r>
        <w:r>
          <w:rPr>
            <w:noProof/>
            <w:webHidden/>
          </w:rPr>
          <w:tab/>
        </w:r>
        <w:r>
          <w:rPr>
            <w:noProof/>
            <w:webHidden/>
          </w:rPr>
          <w:fldChar w:fldCharType="begin"/>
        </w:r>
        <w:r>
          <w:rPr>
            <w:noProof/>
            <w:webHidden/>
          </w:rPr>
          <w:instrText xml:space="preserve"> PAGEREF _Toc94611861 \h </w:instrText>
        </w:r>
        <w:r>
          <w:rPr>
            <w:noProof/>
            <w:webHidden/>
          </w:rPr>
        </w:r>
        <w:r>
          <w:rPr>
            <w:noProof/>
            <w:webHidden/>
          </w:rPr>
          <w:fldChar w:fldCharType="separate"/>
        </w:r>
        <w:r>
          <w:rPr>
            <w:noProof/>
            <w:webHidden/>
          </w:rPr>
          <w:t>4</w:t>
        </w:r>
        <w:r>
          <w:rPr>
            <w:noProof/>
            <w:webHidden/>
          </w:rPr>
          <w:fldChar w:fldCharType="end"/>
        </w:r>
      </w:hyperlink>
    </w:p>
    <w:p w14:paraId="52848D63" w14:textId="5FA1A796" w:rsidR="00C663E0" w:rsidRDefault="00C663E0" w:rsidP="00C663E0">
      <w:pPr>
        <w:pStyle w:val="TOC1"/>
        <w:tabs>
          <w:tab w:val="right" w:pos="6096"/>
        </w:tabs>
        <w:rPr>
          <w:noProof/>
        </w:rPr>
      </w:pPr>
      <w:hyperlink w:anchor="_Toc94611862" w:history="1">
        <w:r w:rsidRPr="005A5FF7">
          <w:rPr>
            <w:rStyle w:val="Hyperlink"/>
            <w:noProof/>
          </w:rPr>
          <w:t>How will it be used?</w:t>
        </w:r>
        <w:r>
          <w:rPr>
            <w:noProof/>
            <w:webHidden/>
          </w:rPr>
          <w:tab/>
        </w:r>
        <w:r>
          <w:rPr>
            <w:noProof/>
            <w:webHidden/>
          </w:rPr>
          <w:fldChar w:fldCharType="begin"/>
        </w:r>
        <w:r>
          <w:rPr>
            <w:noProof/>
            <w:webHidden/>
          </w:rPr>
          <w:instrText xml:space="preserve"> PAGEREF _Toc94611862 \h </w:instrText>
        </w:r>
        <w:r>
          <w:rPr>
            <w:noProof/>
            <w:webHidden/>
          </w:rPr>
        </w:r>
        <w:r>
          <w:rPr>
            <w:noProof/>
            <w:webHidden/>
          </w:rPr>
          <w:fldChar w:fldCharType="separate"/>
        </w:r>
        <w:r>
          <w:rPr>
            <w:noProof/>
            <w:webHidden/>
          </w:rPr>
          <w:t>5</w:t>
        </w:r>
        <w:r>
          <w:rPr>
            <w:noProof/>
            <w:webHidden/>
          </w:rPr>
          <w:fldChar w:fldCharType="end"/>
        </w:r>
      </w:hyperlink>
    </w:p>
    <w:p w14:paraId="4230DDB7" w14:textId="1ABD6C7E" w:rsidR="00C663E0" w:rsidRDefault="00C663E0" w:rsidP="00C663E0">
      <w:pPr>
        <w:pStyle w:val="TOC1"/>
        <w:tabs>
          <w:tab w:val="right" w:pos="6096"/>
        </w:tabs>
        <w:rPr>
          <w:noProof/>
        </w:rPr>
      </w:pPr>
      <w:hyperlink w:anchor="_Toc94611863" w:history="1">
        <w:r w:rsidRPr="005A5FF7">
          <w:rPr>
            <w:rStyle w:val="Hyperlink"/>
            <w:noProof/>
          </w:rPr>
          <w:t>What difference can it make?</w:t>
        </w:r>
        <w:r>
          <w:rPr>
            <w:noProof/>
            <w:webHidden/>
          </w:rPr>
          <w:tab/>
        </w:r>
        <w:r>
          <w:rPr>
            <w:noProof/>
            <w:webHidden/>
          </w:rPr>
          <w:fldChar w:fldCharType="begin"/>
        </w:r>
        <w:r>
          <w:rPr>
            <w:noProof/>
            <w:webHidden/>
          </w:rPr>
          <w:instrText xml:space="preserve"> PAGEREF _Toc94611863 \h </w:instrText>
        </w:r>
        <w:r>
          <w:rPr>
            <w:noProof/>
            <w:webHidden/>
          </w:rPr>
        </w:r>
        <w:r>
          <w:rPr>
            <w:noProof/>
            <w:webHidden/>
          </w:rPr>
          <w:fldChar w:fldCharType="separate"/>
        </w:r>
        <w:r>
          <w:rPr>
            <w:noProof/>
            <w:webHidden/>
          </w:rPr>
          <w:t>5</w:t>
        </w:r>
        <w:r>
          <w:rPr>
            <w:noProof/>
            <w:webHidden/>
          </w:rPr>
          <w:fldChar w:fldCharType="end"/>
        </w:r>
      </w:hyperlink>
    </w:p>
    <w:p w14:paraId="67B68BA5" w14:textId="5D8E7569" w:rsidR="00C663E0" w:rsidRDefault="00C663E0" w:rsidP="00C663E0">
      <w:pPr>
        <w:pStyle w:val="TOC1"/>
        <w:tabs>
          <w:tab w:val="right" w:pos="6096"/>
        </w:tabs>
        <w:rPr>
          <w:rStyle w:val="Hyperlink"/>
          <w:noProof/>
        </w:rPr>
      </w:pPr>
      <w:hyperlink w:anchor="_Toc94611864" w:history="1">
        <w:r w:rsidRPr="005A5FF7">
          <w:rPr>
            <w:rStyle w:val="Hyperlink"/>
            <w:noProof/>
          </w:rPr>
          <w:t>How does it work?</w:t>
        </w:r>
        <w:r>
          <w:rPr>
            <w:noProof/>
            <w:webHidden/>
          </w:rPr>
          <w:tab/>
        </w:r>
        <w:r>
          <w:rPr>
            <w:noProof/>
            <w:webHidden/>
          </w:rPr>
          <w:fldChar w:fldCharType="begin"/>
        </w:r>
        <w:r>
          <w:rPr>
            <w:noProof/>
            <w:webHidden/>
          </w:rPr>
          <w:instrText xml:space="preserve"> PAGEREF _Toc94611864 \h </w:instrText>
        </w:r>
        <w:r>
          <w:rPr>
            <w:noProof/>
            <w:webHidden/>
          </w:rPr>
        </w:r>
        <w:r>
          <w:rPr>
            <w:noProof/>
            <w:webHidden/>
          </w:rPr>
          <w:fldChar w:fldCharType="separate"/>
        </w:r>
        <w:r>
          <w:rPr>
            <w:noProof/>
            <w:webHidden/>
          </w:rPr>
          <w:t>6</w:t>
        </w:r>
        <w:r>
          <w:rPr>
            <w:noProof/>
            <w:webHidden/>
          </w:rPr>
          <w:fldChar w:fldCharType="end"/>
        </w:r>
      </w:hyperlink>
    </w:p>
    <w:p w14:paraId="3D3B2359" w14:textId="0DF546C1" w:rsidR="00973D8C" w:rsidRPr="00973D8C" w:rsidRDefault="00973D8C" w:rsidP="00973D8C">
      <w:pPr>
        <w:rPr>
          <w:b/>
          <w:bCs/>
        </w:rPr>
      </w:pPr>
      <w:r w:rsidRPr="00973D8C">
        <w:rPr>
          <w:b/>
          <w:bCs/>
        </w:rPr>
        <w:t>The Framework</w:t>
      </w:r>
    </w:p>
    <w:p w14:paraId="611834CC" w14:textId="6F88F346" w:rsidR="00C663E0" w:rsidRDefault="00C663E0" w:rsidP="00C663E0">
      <w:pPr>
        <w:pStyle w:val="TOC1"/>
        <w:tabs>
          <w:tab w:val="left" w:pos="440"/>
          <w:tab w:val="right" w:pos="6096"/>
        </w:tabs>
        <w:rPr>
          <w:noProof/>
        </w:rPr>
      </w:pPr>
      <w:hyperlink w:anchor="_Toc94611865" w:history="1">
        <w:r w:rsidRPr="005A5FF7">
          <w:rPr>
            <w:rStyle w:val="Hyperlink"/>
            <w:noProof/>
          </w:rPr>
          <w:t>1.</w:t>
        </w:r>
        <w:r>
          <w:rPr>
            <w:noProof/>
          </w:rPr>
          <w:tab/>
        </w:r>
        <w:r w:rsidRPr="005A5FF7">
          <w:rPr>
            <w:rStyle w:val="Hyperlink"/>
            <w:noProof/>
          </w:rPr>
          <w:t>Aligned to outcomes – Social impact objectives</w:t>
        </w:r>
        <w:r>
          <w:rPr>
            <w:noProof/>
            <w:webHidden/>
          </w:rPr>
          <w:tab/>
        </w:r>
        <w:r>
          <w:rPr>
            <w:noProof/>
            <w:webHidden/>
          </w:rPr>
          <w:fldChar w:fldCharType="begin"/>
        </w:r>
        <w:r>
          <w:rPr>
            <w:noProof/>
            <w:webHidden/>
          </w:rPr>
          <w:instrText xml:space="preserve"> PAGEREF _Toc94611865 \h </w:instrText>
        </w:r>
        <w:r>
          <w:rPr>
            <w:noProof/>
            <w:webHidden/>
          </w:rPr>
        </w:r>
        <w:r>
          <w:rPr>
            <w:noProof/>
            <w:webHidden/>
          </w:rPr>
          <w:fldChar w:fldCharType="separate"/>
        </w:r>
        <w:r>
          <w:rPr>
            <w:noProof/>
            <w:webHidden/>
          </w:rPr>
          <w:t>7</w:t>
        </w:r>
        <w:r>
          <w:rPr>
            <w:noProof/>
            <w:webHidden/>
          </w:rPr>
          <w:fldChar w:fldCharType="end"/>
        </w:r>
      </w:hyperlink>
    </w:p>
    <w:p w14:paraId="78AE599C" w14:textId="3F680759" w:rsidR="00C663E0" w:rsidRDefault="00C663E0" w:rsidP="00C663E0">
      <w:pPr>
        <w:pStyle w:val="TOC1"/>
        <w:tabs>
          <w:tab w:val="left" w:pos="440"/>
          <w:tab w:val="right" w:pos="6096"/>
        </w:tabs>
        <w:rPr>
          <w:noProof/>
        </w:rPr>
      </w:pPr>
      <w:hyperlink w:anchor="_Toc94611866" w:history="1">
        <w:r w:rsidRPr="005A5FF7">
          <w:rPr>
            <w:rStyle w:val="Hyperlink"/>
            <w:noProof/>
          </w:rPr>
          <w:t>2.</w:t>
        </w:r>
        <w:r>
          <w:rPr>
            <w:noProof/>
          </w:rPr>
          <w:tab/>
        </w:r>
        <w:r w:rsidRPr="005A5FF7">
          <w:rPr>
            <w:rStyle w:val="Hyperlink"/>
            <w:noProof/>
          </w:rPr>
          <w:t>Designed for impact – Design criteria</w:t>
        </w:r>
        <w:r>
          <w:rPr>
            <w:noProof/>
            <w:webHidden/>
          </w:rPr>
          <w:tab/>
        </w:r>
        <w:r>
          <w:rPr>
            <w:noProof/>
            <w:webHidden/>
          </w:rPr>
          <w:fldChar w:fldCharType="begin"/>
        </w:r>
        <w:r>
          <w:rPr>
            <w:noProof/>
            <w:webHidden/>
          </w:rPr>
          <w:instrText xml:space="preserve"> PAGEREF _Toc94611866 \h </w:instrText>
        </w:r>
        <w:r>
          <w:rPr>
            <w:noProof/>
            <w:webHidden/>
          </w:rPr>
        </w:r>
        <w:r>
          <w:rPr>
            <w:noProof/>
            <w:webHidden/>
          </w:rPr>
          <w:fldChar w:fldCharType="separate"/>
        </w:r>
        <w:r>
          <w:rPr>
            <w:noProof/>
            <w:webHidden/>
          </w:rPr>
          <w:t>8</w:t>
        </w:r>
        <w:r>
          <w:rPr>
            <w:noProof/>
            <w:webHidden/>
          </w:rPr>
          <w:fldChar w:fldCharType="end"/>
        </w:r>
      </w:hyperlink>
    </w:p>
    <w:p w14:paraId="53B0BE44" w14:textId="347193D0" w:rsidR="00C663E0" w:rsidRDefault="00C663E0" w:rsidP="00C663E0">
      <w:pPr>
        <w:pStyle w:val="TOC1"/>
        <w:tabs>
          <w:tab w:val="left" w:pos="440"/>
          <w:tab w:val="right" w:pos="6096"/>
        </w:tabs>
        <w:rPr>
          <w:noProof/>
        </w:rPr>
      </w:pPr>
      <w:hyperlink w:anchor="_Toc94611867" w:history="1">
        <w:r w:rsidRPr="005A5FF7">
          <w:rPr>
            <w:rStyle w:val="Hyperlink"/>
            <w:noProof/>
          </w:rPr>
          <w:t>3.</w:t>
        </w:r>
        <w:r>
          <w:rPr>
            <w:noProof/>
          </w:rPr>
          <w:tab/>
        </w:r>
        <w:r w:rsidRPr="005A5FF7">
          <w:rPr>
            <w:rStyle w:val="Hyperlink"/>
            <w:noProof/>
          </w:rPr>
          <w:t>Developed in partnership – Partnership principles</w:t>
        </w:r>
        <w:r>
          <w:rPr>
            <w:noProof/>
            <w:webHidden/>
          </w:rPr>
          <w:tab/>
        </w:r>
        <w:r>
          <w:rPr>
            <w:noProof/>
            <w:webHidden/>
          </w:rPr>
          <w:fldChar w:fldCharType="begin"/>
        </w:r>
        <w:r>
          <w:rPr>
            <w:noProof/>
            <w:webHidden/>
          </w:rPr>
          <w:instrText xml:space="preserve"> PAGEREF _Toc94611867 \h </w:instrText>
        </w:r>
        <w:r>
          <w:rPr>
            <w:noProof/>
            <w:webHidden/>
          </w:rPr>
        </w:r>
        <w:r>
          <w:rPr>
            <w:noProof/>
            <w:webHidden/>
          </w:rPr>
          <w:fldChar w:fldCharType="separate"/>
        </w:r>
        <w:r>
          <w:rPr>
            <w:noProof/>
            <w:webHidden/>
          </w:rPr>
          <w:t>8</w:t>
        </w:r>
        <w:r>
          <w:rPr>
            <w:noProof/>
            <w:webHidden/>
          </w:rPr>
          <w:fldChar w:fldCharType="end"/>
        </w:r>
      </w:hyperlink>
    </w:p>
    <w:p w14:paraId="3E8015A3" w14:textId="30ADED0C" w:rsidR="00C663E0" w:rsidRDefault="00C663E0" w:rsidP="00C663E0">
      <w:pPr>
        <w:pStyle w:val="TOC1"/>
        <w:tabs>
          <w:tab w:val="right" w:pos="6096"/>
        </w:tabs>
        <w:rPr>
          <w:noProof/>
        </w:rPr>
      </w:pPr>
      <w:hyperlink w:anchor="_Toc94611868" w:history="1">
        <w:r w:rsidRPr="005A5FF7">
          <w:rPr>
            <w:rStyle w:val="Hyperlink"/>
            <w:noProof/>
          </w:rPr>
          <w:t>Social Impact Framework Assessment Tool</w:t>
        </w:r>
        <w:r>
          <w:rPr>
            <w:noProof/>
            <w:webHidden/>
          </w:rPr>
          <w:tab/>
        </w:r>
        <w:r>
          <w:rPr>
            <w:noProof/>
            <w:webHidden/>
          </w:rPr>
          <w:fldChar w:fldCharType="begin"/>
        </w:r>
        <w:r>
          <w:rPr>
            <w:noProof/>
            <w:webHidden/>
          </w:rPr>
          <w:instrText xml:space="preserve"> PAGEREF _Toc94611868 \h </w:instrText>
        </w:r>
        <w:r>
          <w:rPr>
            <w:noProof/>
            <w:webHidden/>
          </w:rPr>
        </w:r>
        <w:r>
          <w:rPr>
            <w:noProof/>
            <w:webHidden/>
          </w:rPr>
          <w:fldChar w:fldCharType="separate"/>
        </w:r>
        <w:r>
          <w:rPr>
            <w:noProof/>
            <w:webHidden/>
          </w:rPr>
          <w:t>9</w:t>
        </w:r>
        <w:r>
          <w:rPr>
            <w:noProof/>
            <w:webHidden/>
          </w:rPr>
          <w:fldChar w:fldCharType="end"/>
        </w:r>
      </w:hyperlink>
    </w:p>
    <w:p w14:paraId="128EDE3D" w14:textId="617FA052" w:rsidR="003A465F" w:rsidRDefault="00C663E0" w:rsidP="00C663E0">
      <w:pPr>
        <w:tabs>
          <w:tab w:val="right" w:pos="6663"/>
        </w:tabs>
        <w:spacing w:after="1300"/>
        <w:rPr>
          <w:rFonts w:ascii="Arial" w:hAnsi="Arial" w:cs="Arial"/>
        </w:rPr>
      </w:pPr>
      <w:r>
        <w:fldChar w:fldCharType="end"/>
      </w:r>
    </w:p>
    <w:p w14:paraId="1C8BFE56" w14:textId="47DDD075" w:rsidR="003A465F" w:rsidRDefault="003A465F" w:rsidP="0074055F">
      <w:pPr>
        <w:pStyle w:val="Heading2"/>
      </w:pPr>
      <w:bookmarkStart w:id="1" w:name="_Toc94611858"/>
      <w:r>
        <w:t>Acknowledgement of Country</w:t>
      </w:r>
      <w:bookmarkEnd w:id="1"/>
    </w:p>
    <w:p w14:paraId="2392E59B" w14:textId="612FE9F3" w:rsidR="003A465F" w:rsidRDefault="003A465F" w:rsidP="001C1139">
      <w:r>
        <w:t>The South Australian Government acknowledges and respects Aboriginal people as the State’s first people and recognises their traditional relationship with Country. We acknowledge that the spiritual, social, cultural and economic practices of Aboriginal people come from their traditional lands and waters, and that the cultural and heritage beliefs, languages and laws are still of importance today.</w:t>
      </w:r>
    </w:p>
    <w:p w14:paraId="74F8CB4E" w14:textId="77777777" w:rsidR="001C1139" w:rsidRPr="00925D0F" w:rsidRDefault="001C1139">
      <w:r>
        <w:rPr>
          <w:rFonts w:ascii="Arial" w:hAnsi="Arial" w:cs="Arial"/>
          <w:b/>
          <w:bCs/>
          <w:sz w:val="32"/>
          <w:szCs w:val="32"/>
        </w:rPr>
        <w:br w:type="page"/>
      </w:r>
    </w:p>
    <w:p w14:paraId="6B4436FE" w14:textId="5C4C44D0" w:rsidR="003A465F" w:rsidRDefault="003A465F" w:rsidP="0074055F">
      <w:pPr>
        <w:pStyle w:val="Heading2"/>
      </w:pPr>
      <w:bookmarkStart w:id="2" w:name="_Toc94611859"/>
      <w:r>
        <w:lastRenderedPageBreak/>
        <w:t>The Social Impact Framework</w:t>
      </w:r>
      <w:bookmarkEnd w:id="2"/>
    </w:p>
    <w:p w14:paraId="1B3AECC4" w14:textId="6A12D660" w:rsidR="003A465F" w:rsidRDefault="007B16C0" w:rsidP="001C1139">
      <w:r>
        <w:t>Supporting service</w:t>
      </w:r>
      <w:r w:rsidR="003A465F" w:rsidRPr="003A465F">
        <w:t xml:space="preserve"> providers and government funders to assess how well a program is meeting the evidence-based conditions for social impact.</w:t>
      </w:r>
    </w:p>
    <w:p w14:paraId="001CEEF6" w14:textId="287698AE" w:rsidR="003A465F" w:rsidRDefault="003A465F" w:rsidP="0055534C">
      <w:r>
        <w:t>The Social Impact Framework represents a significant shift in thinking about how government:</w:t>
      </w:r>
    </w:p>
    <w:p w14:paraId="53E5600A" w14:textId="47D2AA7F" w:rsidR="003A465F" w:rsidRDefault="003A465F" w:rsidP="00CA207E">
      <w:pPr>
        <w:pStyle w:val="Bullet-Disc"/>
      </w:pPr>
      <w:r>
        <w:t xml:space="preserve">assesses </w:t>
      </w:r>
      <w:r w:rsidR="0054143A" w:rsidRPr="0054143A">
        <w:t>and optimises the impact that community sector and government activities have on society.</w:t>
      </w:r>
    </w:p>
    <w:p w14:paraId="4658B857" w14:textId="3EBE96EC" w:rsidR="003A465F" w:rsidRDefault="003A465F" w:rsidP="00CA207E">
      <w:pPr>
        <w:pStyle w:val="Bullet-Disc"/>
      </w:pPr>
      <w:r>
        <w:t>builds collaborative partnerships with the non-government sector.</w:t>
      </w:r>
    </w:p>
    <w:p w14:paraId="30B0B008" w14:textId="63A83473" w:rsidR="003A465F" w:rsidRDefault="003A465F" w:rsidP="001C1139">
      <w:r>
        <w:t>Research, provider expertise and the lived experience of people accessing services show that a program, initiative or service has the best chance of creating social impact if they are:</w:t>
      </w:r>
    </w:p>
    <w:p w14:paraId="280812F2" w14:textId="4D794444" w:rsidR="001C1139" w:rsidRPr="001C1139" w:rsidRDefault="001C1139" w:rsidP="00CA207E">
      <w:pPr>
        <w:pStyle w:val="Bullet-Disc"/>
      </w:pPr>
      <w:r w:rsidRPr="001C1139">
        <w:t>Aligned to clearly defined purposes and outcomes</w:t>
      </w:r>
    </w:p>
    <w:p w14:paraId="0284900B" w14:textId="1BEE628C" w:rsidR="001C1139" w:rsidRPr="001C1139" w:rsidRDefault="001C1139" w:rsidP="00CA207E">
      <w:pPr>
        <w:pStyle w:val="Bullet-Disc"/>
      </w:pPr>
      <w:r w:rsidRPr="001C1139">
        <w:t>Meets best-practice service design criteria</w:t>
      </w:r>
    </w:p>
    <w:p w14:paraId="1EC05A53" w14:textId="096D8056" w:rsidR="00286E37" w:rsidRPr="001C1139" w:rsidRDefault="001C1139" w:rsidP="00CA207E">
      <w:pPr>
        <w:pStyle w:val="Bullet-Disc"/>
      </w:pPr>
      <w:r w:rsidRPr="001C1139">
        <w:t>Delivered through a partnership with service providers.</w:t>
      </w:r>
    </w:p>
    <w:p w14:paraId="0770C385" w14:textId="7A7A919A" w:rsidR="00286E37" w:rsidRDefault="00286E37" w:rsidP="0074055F">
      <w:pPr>
        <w:pStyle w:val="Heading2"/>
      </w:pPr>
      <w:bookmarkStart w:id="3" w:name="_Toc94611860"/>
      <w:r>
        <w:t>How was the framework developed?</w:t>
      </w:r>
      <w:bookmarkEnd w:id="3"/>
    </w:p>
    <w:p w14:paraId="4B30BE3A" w14:textId="212D5194" w:rsidR="00286E37" w:rsidRDefault="00286E37" w:rsidP="00AC6B08">
      <w:r>
        <w:t>The Social Impact Framework has been developed with the Department of Human Services (DHS) by the Australian Alliance for Social enterprise (TAASE) at the University of South Australia and informed by:</w:t>
      </w:r>
    </w:p>
    <w:p w14:paraId="629F64F1" w14:textId="46209EF6" w:rsidR="00286E37" w:rsidRPr="00CA207E" w:rsidRDefault="00286E37" w:rsidP="00CA207E">
      <w:pPr>
        <w:pStyle w:val="Bullet-Disc"/>
      </w:pPr>
      <w:r w:rsidRPr="00CA207E">
        <w:t>national and international literature and research</w:t>
      </w:r>
    </w:p>
    <w:p w14:paraId="6C7F3029" w14:textId="2BD8DED0" w:rsidR="00286E37" w:rsidRPr="00CA207E" w:rsidRDefault="00286E37" w:rsidP="00CA207E">
      <w:pPr>
        <w:pStyle w:val="Bullet-Disc"/>
      </w:pPr>
      <w:r w:rsidRPr="00CA207E">
        <w:t>best practice case studies in human service reform and contemporary commissioning practice</w:t>
      </w:r>
    </w:p>
    <w:p w14:paraId="042C201E" w14:textId="762278F4" w:rsidR="00286E37" w:rsidRPr="00CA207E" w:rsidRDefault="00286E37" w:rsidP="00CA207E">
      <w:pPr>
        <w:pStyle w:val="Bullet-Disc"/>
      </w:pPr>
      <w:r w:rsidRPr="00CA207E">
        <w:t>feedback from the Social Impact Steering Committee, with representation by DHS and community services sector leaders</w:t>
      </w:r>
    </w:p>
    <w:p w14:paraId="23870FE5" w14:textId="0DA60708" w:rsidR="00286E37" w:rsidRPr="00CA207E" w:rsidRDefault="00286E37" w:rsidP="00CA207E">
      <w:pPr>
        <w:pStyle w:val="Bullet-Disc"/>
      </w:pPr>
      <w:r w:rsidRPr="00CA207E">
        <w:t>targeted consultation with DHS contract managers, policy developers and procurement advisers</w:t>
      </w:r>
    </w:p>
    <w:p w14:paraId="356882EB" w14:textId="77E394B0" w:rsidR="00286E37" w:rsidRPr="00CA207E" w:rsidRDefault="00286E37" w:rsidP="00CA207E">
      <w:pPr>
        <w:pStyle w:val="Bullet-Disc"/>
      </w:pPr>
      <w:r w:rsidRPr="00CA207E">
        <w:t>community services sector survey inputs from January 2019 and sector consultation on the Australian Service Excellence Standards (ASES)</w:t>
      </w:r>
    </w:p>
    <w:p w14:paraId="70CC19DF" w14:textId="29674753" w:rsidR="0054143A" w:rsidRPr="00CA207E" w:rsidRDefault="0054143A" w:rsidP="00CA207E">
      <w:pPr>
        <w:pStyle w:val="Bullet-Disc"/>
      </w:pPr>
      <w:r w:rsidRPr="00CA207E">
        <w:t>the DHS Strategic Plan</w:t>
      </w:r>
    </w:p>
    <w:p w14:paraId="217896CF" w14:textId="5D50763D" w:rsidR="00286E37" w:rsidRPr="00CA207E" w:rsidRDefault="00286E37" w:rsidP="00CA207E">
      <w:pPr>
        <w:pStyle w:val="Bullet-Disc"/>
      </w:pPr>
      <w:r w:rsidRPr="00CA207E">
        <w:t>South Australian Not for Profit Funding Rules and Guidelines (SANFRAG) Principles, now known as Premiers Circular 044</w:t>
      </w:r>
    </w:p>
    <w:p w14:paraId="72D4EC2E" w14:textId="322EB60A" w:rsidR="006A749C" w:rsidRPr="00CA207E" w:rsidRDefault="006A749C" w:rsidP="00CA207E">
      <w:pPr>
        <w:pStyle w:val="Bullet-Disc"/>
      </w:pPr>
      <w:r w:rsidRPr="00CA207E">
        <w:t>DHS Commissioning Strategy</w:t>
      </w:r>
    </w:p>
    <w:p w14:paraId="45282C81" w14:textId="59763753" w:rsidR="00286E37" w:rsidRPr="00CA207E" w:rsidRDefault="00286E37" w:rsidP="00CA207E">
      <w:pPr>
        <w:pStyle w:val="Bullet-Disc"/>
      </w:pPr>
      <w:r w:rsidRPr="00CA207E">
        <w:t xml:space="preserve">a review of all program logic and outcomes for funded programs in DHS </w:t>
      </w:r>
      <w:r w:rsidR="00EE61F8" w:rsidRPr="00CA207E">
        <w:t>c</w:t>
      </w:r>
      <w:r w:rsidRPr="00CA207E">
        <w:t xml:space="preserve">ommunity and </w:t>
      </w:r>
      <w:r w:rsidR="00EE61F8" w:rsidRPr="00CA207E">
        <w:t>f</w:t>
      </w:r>
      <w:r w:rsidRPr="00CA207E">
        <w:t xml:space="preserve">amily </w:t>
      </w:r>
      <w:r w:rsidR="00EE61F8" w:rsidRPr="00CA207E">
        <w:t>s</w:t>
      </w:r>
      <w:r w:rsidRPr="00CA207E">
        <w:t>ervices.</w:t>
      </w:r>
    </w:p>
    <w:p w14:paraId="007BC823" w14:textId="77777777" w:rsidR="001C1139" w:rsidRDefault="001C1139">
      <w:pPr>
        <w:rPr>
          <w:rFonts w:ascii="Arial" w:hAnsi="Arial" w:cs="Arial"/>
        </w:rPr>
      </w:pPr>
      <w:r>
        <w:rPr>
          <w:rFonts w:ascii="Arial" w:hAnsi="Arial" w:cs="Arial"/>
        </w:rPr>
        <w:br w:type="page"/>
      </w:r>
    </w:p>
    <w:p w14:paraId="1A354234" w14:textId="48E12601" w:rsidR="00EE61F8" w:rsidRDefault="00EE61F8" w:rsidP="0074055F">
      <w:pPr>
        <w:pStyle w:val="Heading2"/>
      </w:pPr>
      <w:bookmarkStart w:id="4" w:name="_Toc94611861"/>
      <w:r>
        <w:lastRenderedPageBreak/>
        <w:t>Sector consultation</w:t>
      </w:r>
      <w:bookmarkEnd w:id="4"/>
    </w:p>
    <w:p w14:paraId="682B3731" w14:textId="526A1D8E" w:rsidR="00EE61F8" w:rsidRDefault="00EE61F8" w:rsidP="00A95148">
      <w:r>
        <w:t>Following initial development, the draft Social Impact Framework was refined and strengthened with input from the sector and the strategic guidance of DHS-funded peak organisations.</w:t>
      </w:r>
    </w:p>
    <w:p w14:paraId="4BFCC147" w14:textId="1E503EFF" w:rsidR="00EE61F8" w:rsidRDefault="00EE61F8" w:rsidP="00A95148">
      <w:r>
        <w:t>The following consultations were also held:</w:t>
      </w:r>
    </w:p>
    <w:p w14:paraId="4127F0E1" w14:textId="446D75DF" w:rsidR="00EE61F8" w:rsidRDefault="00EE61F8" w:rsidP="00CA207E">
      <w:pPr>
        <w:pStyle w:val="Bullet-Disc"/>
      </w:pPr>
      <w:r>
        <w:t>4 focus group sessions with community and family services peak organisations</w:t>
      </w:r>
    </w:p>
    <w:p w14:paraId="364FD330" w14:textId="0D648356" w:rsidR="00EE61F8" w:rsidRDefault="00EE61F8" w:rsidP="00CA207E">
      <w:pPr>
        <w:pStyle w:val="Bullet-Disc"/>
      </w:pPr>
      <w:r>
        <w:t xml:space="preserve">2 provider ‘think-tank’ sessions with </w:t>
      </w:r>
      <w:r w:rsidR="006A749C" w:rsidRPr="006A749C">
        <w:t>16 non-government providers of community and family services</w:t>
      </w:r>
    </w:p>
    <w:p w14:paraId="35718B34" w14:textId="3B9C0069" w:rsidR="00EE61F8" w:rsidRDefault="00EE61F8" w:rsidP="00CA207E">
      <w:pPr>
        <w:pStyle w:val="Bullet-Disc"/>
      </w:pPr>
      <w:r>
        <w:t xml:space="preserve">targeted provider engagement with additional 4 </w:t>
      </w:r>
      <w:r w:rsidR="006A749C">
        <w:t xml:space="preserve">non-government </w:t>
      </w:r>
      <w:r>
        <w:t>providers</w:t>
      </w:r>
    </w:p>
    <w:p w14:paraId="6E32BBA2" w14:textId="01B6E196" w:rsidR="00EE61F8" w:rsidRDefault="00EE61F8" w:rsidP="00CA207E">
      <w:pPr>
        <w:pStyle w:val="Bullet-Disc"/>
      </w:pPr>
      <w:r>
        <w:t>feedback sessions with Critical Sector Friends with extensive expertise across human service fields (and no current funding arrangements with DHS)</w:t>
      </w:r>
    </w:p>
    <w:p w14:paraId="5FF8F2C2" w14:textId="41144B97" w:rsidR="00EE61F8" w:rsidRDefault="00EE61F8" w:rsidP="00CA207E">
      <w:pPr>
        <w:pStyle w:val="Bullet-Disc"/>
      </w:pPr>
      <w:r>
        <w:t>feedback session with Aboriginal-controlled organisations and advisers</w:t>
      </w:r>
    </w:p>
    <w:p w14:paraId="4215EA67" w14:textId="429C8CA3" w:rsidR="007B16C0" w:rsidRDefault="006A749C" w:rsidP="00CA207E">
      <w:pPr>
        <w:pStyle w:val="Bullet-Disc"/>
      </w:pPr>
      <w:r>
        <w:t xml:space="preserve">a </w:t>
      </w:r>
      <w:r w:rsidR="00EE61F8">
        <w:t xml:space="preserve">testing and trial of the framework with 2 providers, one a multicultural organisation with predominantly </w:t>
      </w:r>
      <w:r>
        <w:t>CALD</w:t>
      </w:r>
      <w:r w:rsidR="00EE61F8">
        <w:t xml:space="preserve"> clients</w:t>
      </w:r>
      <w:r w:rsidR="007B16C0">
        <w:t>.</w:t>
      </w:r>
    </w:p>
    <w:p w14:paraId="36278869" w14:textId="3DBA69CC" w:rsidR="006446D7" w:rsidRPr="00A21B18" w:rsidRDefault="006446D7" w:rsidP="00A21B18">
      <w:pPr>
        <w:rPr>
          <w:b/>
          <w:bCs/>
        </w:rPr>
      </w:pPr>
      <w:r w:rsidRPr="00A21B18">
        <w:rPr>
          <w:b/>
          <w:bCs/>
        </w:rPr>
        <w:t>100 per cent of peak organisations and 94 per cent of providers were willing to work with DHS to utilise the framework.</w:t>
      </w:r>
    </w:p>
    <w:p w14:paraId="33799F43" w14:textId="2330FF43" w:rsidR="006446D7" w:rsidRPr="00A21B18" w:rsidRDefault="006446D7" w:rsidP="00A21B18">
      <w:pPr>
        <w:rPr>
          <w:b/>
          <w:bCs/>
        </w:rPr>
      </w:pPr>
      <w:r w:rsidRPr="00A21B18">
        <w:rPr>
          <w:b/>
          <w:bCs/>
        </w:rPr>
        <w:t>100 percent of peak organisation and providers were postie about the potential of the framework to:</w:t>
      </w:r>
    </w:p>
    <w:p w14:paraId="29BD6D68" w14:textId="7409D832" w:rsidR="006446D7" w:rsidRPr="006446D7" w:rsidRDefault="006446D7" w:rsidP="00CA207E">
      <w:pPr>
        <w:pStyle w:val="Bullet-Disc"/>
      </w:pPr>
      <w:r w:rsidRPr="006446D7">
        <w:t>Assess DHS funded programs in a more consistent manner</w:t>
      </w:r>
    </w:p>
    <w:p w14:paraId="38B7EA74" w14:textId="513CC3EB" w:rsidR="006446D7" w:rsidRPr="006446D7" w:rsidRDefault="006446D7" w:rsidP="00CA207E">
      <w:pPr>
        <w:pStyle w:val="Bullet-Disc"/>
      </w:pPr>
      <w:r w:rsidRPr="006446D7">
        <w:t>Build knowledge, capacity and collaboration within the sector.</w:t>
      </w:r>
    </w:p>
    <w:p w14:paraId="2B11AE21" w14:textId="13807EEC" w:rsidR="007B16C0" w:rsidRDefault="007B16C0" w:rsidP="001C1139">
      <w:pPr>
        <w:jc w:val="center"/>
        <w:rPr>
          <w:rFonts w:ascii="Arial" w:hAnsi="Arial" w:cs="Arial"/>
        </w:rPr>
      </w:pPr>
    </w:p>
    <w:p w14:paraId="6B678DB1" w14:textId="77777777" w:rsidR="001C1139" w:rsidRDefault="001C1139">
      <w:pPr>
        <w:rPr>
          <w:rFonts w:asciiTheme="majorHAnsi" w:eastAsiaTheme="majorEastAsia" w:hAnsiTheme="majorHAnsi" w:cstheme="majorBidi"/>
          <w:color w:val="2F5496" w:themeColor="accent1" w:themeShade="BF"/>
          <w:sz w:val="26"/>
          <w:szCs w:val="26"/>
        </w:rPr>
      </w:pPr>
      <w:r>
        <w:br w:type="page"/>
      </w:r>
    </w:p>
    <w:p w14:paraId="65628877" w14:textId="16CA5690" w:rsidR="007B16C0" w:rsidRDefault="007B16C0" w:rsidP="0074055F">
      <w:pPr>
        <w:pStyle w:val="Heading2"/>
      </w:pPr>
      <w:bookmarkStart w:id="5" w:name="_Toc94611862"/>
      <w:r>
        <w:lastRenderedPageBreak/>
        <w:t>How will it be used?</w:t>
      </w:r>
      <w:bookmarkEnd w:id="5"/>
    </w:p>
    <w:p w14:paraId="5DA28346" w14:textId="4361BD5E" w:rsidR="007B16C0" w:rsidRPr="001C1139" w:rsidRDefault="007B16C0" w:rsidP="001C1139">
      <w:pPr>
        <w:rPr>
          <w:b/>
          <w:bCs/>
        </w:rPr>
      </w:pPr>
      <w:r w:rsidRPr="001C1139">
        <w:rPr>
          <w:b/>
          <w:bCs/>
        </w:rPr>
        <w:t>The framework can be used by both government funders and service providers to better articulate what the actual impact is coming from the activities we are investing in.</w:t>
      </w:r>
    </w:p>
    <w:p w14:paraId="6FAB879C" w14:textId="77777777" w:rsidR="00A14373" w:rsidRDefault="00A14373" w:rsidP="001C1139">
      <w:r w:rsidRPr="00A14373">
        <w:t>The framework provides an opportunity for government funders and service providers to better understand how a program or service is generating social impact.</w:t>
      </w:r>
    </w:p>
    <w:p w14:paraId="6610CFC5" w14:textId="2B517969" w:rsidR="007B16C0" w:rsidRDefault="007B16C0" w:rsidP="001C1139">
      <w:r>
        <w:t>This means impact that is:</w:t>
      </w:r>
    </w:p>
    <w:p w14:paraId="3DE84437" w14:textId="093184DB" w:rsidR="007B16C0" w:rsidRDefault="007B16C0" w:rsidP="00CA207E">
      <w:pPr>
        <w:pStyle w:val="Bullet-Disc"/>
      </w:pPr>
      <w:r>
        <w:t>positive and meaningful for people seeking support</w:t>
      </w:r>
    </w:p>
    <w:p w14:paraId="4BC26F85" w14:textId="0A8C453D" w:rsidR="007B16C0" w:rsidRDefault="007B16C0" w:rsidP="00CA207E">
      <w:pPr>
        <w:pStyle w:val="Bullet-Disc"/>
      </w:pPr>
      <w:r>
        <w:t>extended in scope beyond individuals to include families, communities and societies</w:t>
      </w:r>
    </w:p>
    <w:p w14:paraId="4248E26B" w14:textId="4E032703" w:rsidR="007B16C0" w:rsidRDefault="007B16C0" w:rsidP="00CA207E">
      <w:pPr>
        <w:pStyle w:val="Bullet-Disc"/>
      </w:pPr>
      <w:r>
        <w:t xml:space="preserve">future-focused with the potential to lead to </w:t>
      </w:r>
      <w:r w:rsidR="004B275F">
        <w:t>sustainable change in lives and communities.</w:t>
      </w:r>
    </w:p>
    <w:p w14:paraId="2A42F29F" w14:textId="6AD7F636" w:rsidR="007B16C0" w:rsidRDefault="004B275F" w:rsidP="001C1139">
      <w:r w:rsidRPr="004B275F">
        <w:t>For providers</w:t>
      </w:r>
      <w:r>
        <w:t>, the framework presents an opportunity to assist government to better understand constraints and strengths in how services are being delivered and enables them to identify challenges and risks, as well as areas where additional government support or capacity building would be beneficial.</w:t>
      </w:r>
    </w:p>
    <w:p w14:paraId="0EDB29CF" w14:textId="13464349" w:rsidR="004B275F" w:rsidRDefault="004B275F" w:rsidP="001C1139">
      <w:r>
        <w:t>It also encourages providers to highlight successful approaches or innovations that could usefully be up-scaled or more broadly shared across a program or the wider sector.</w:t>
      </w:r>
    </w:p>
    <w:p w14:paraId="06E7398E" w14:textId="05BC1437" w:rsidR="004B275F" w:rsidRDefault="004B275F" w:rsidP="001C1139">
      <w:r w:rsidRPr="004B275F">
        <w:t>For government</w:t>
      </w:r>
      <w:r>
        <w:t>, the framework provides a consistent and evidence-based mechanism to assess the individual, community and societal impacts that are being returned through its investment.</w:t>
      </w:r>
    </w:p>
    <w:p w14:paraId="1B602C51" w14:textId="5F72A887" w:rsidR="004B275F" w:rsidRDefault="004B275F" w:rsidP="001C1139">
      <w:r>
        <w:t>DHS can use the framework to:</w:t>
      </w:r>
    </w:p>
    <w:p w14:paraId="4CB82D71" w14:textId="643353F7" w:rsidR="004B275F" w:rsidRDefault="004B275F" w:rsidP="00CA207E">
      <w:pPr>
        <w:pStyle w:val="Bullet-Disc"/>
      </w:pPr>
      <w:r>
        <w:t>review existing funding to enhance alignment and collaboration between funded programs and create greater whole-of-system coordination</w:t>
      </w:r>
    </w:p>
    <w:p w14:paraId="202920AB" w14:textId="7613BE20" w:rsidR="004B275F" w:rsidRDefault="004B275F" w:rsidP="00CA207E">
      <w:pPr>
        <w:pStyle w:val="Bullet-Disc"/>
      </w:pPr>
      <w:r>
        <w:t>assess initiatives or proposals for funding for their potential to generate social impact</w:t>
      </w:r>
    </w:p>
    <w:p w14:paraId="622C2581" w14:textId="4EB45063" w:rsidR="004B275F" w:rsidRDefault="004B275F" w:rsidP="00CA207E">
      <w:pPr>
        <w:pStyle w:val="Bullet-Disc"/>
      </w:pPr>
      <w:r>
        <w:t>identify provider strengths and common areas where capacity building is required to strengthen impact potential</w:t>
      </w:r>
    </w:p>
    <w:p w14:paraId="767CD767" w14:textId="6B4BBAED" w:rsidR="004B275F" w:rsidRDefault="002E08AB" w:rsidP="00CA207E">
      <w:pPr>
        <w:pStyle w:val="Bullet-Disc"/>
      </w:pPr>
      <w:r>
        <w:t>assess</w:t>
      </w:r>
      <w:r w:rsidR="004B275F">
        <w:t xml:space="preserve"> investment across multiple programs (within a place-based location, across DHS or even other government agencies).</w:t>
      </w:r>
    </w:p>
    <w:p w14:paraId="4D4CF251" w14:textId="77777777" w:rsidR="001C1139" w:rsidRDefault="004B275F" w:rsidP="001C1139">
      <w:r>
        <w:t>The Social Impact Framework acknowledges the inter-dependence of government and non-government providers. Relationships are at the core of its success.</w:t>
      </w:r>
    </w:p>
    <w:p w14:paraId="0883A48F" w14:textId="7676F975" w:rsidR="004B275F" w:rsidRDefault="004B275F" w:rsidP="0074055F">
      <w:pPr>
        <w:pStyle w:val="Heading2"/>
      </w:pPr>
      <w:bookmarkStart w:id="6" w:name="_Toc94611863"/>
      <w:r>
        <w:t>What difference can it make?</w:t>
      </w:r>
      <w:bookmarkEnd w:id="6"/>
    </w:p>
    <w:p w14:paraId="776C3D85" w14:textId="272784D1" w:rsidR="008A3267" w:rsidRDefault="003A4705" w:rsidP="006D2D8E">
      <w:r>
        <w:t>The framework will promote and enhance:</w:t>
      </w:r>
    </w:p>
    <w:p w14:paraId="321F1B58" w14:textId="5590705C" w:rsidR="003A4705" w:rsidRDefault="003A4705" w:rsidP="00CA207E">
      <w:pPr>
        <w:pStyle w:val="Bullet-Disc"/>
      </w:pPr>
      <w:r>
        <w:t>alignment and coordination of activities to achieve agreed outcomes</w:t>
      </w:r>
    </w:p>
    <w:p w14:paraId="213357FC" w14:textId="226610DC" w:rsidR="003A4705" w:rsidRDefault="003A4705" w:rsidP="00CA207E">
      <w:pPr>
        <w:pStyle w:val="Bullet-Disc"/>
      </w:pPr>
      <w:r>
        <w:t>clarity in expectations about what funding is really trying to achieve</w:t>
      </w:r>
    </w:p>
    <w:p w14:paraId="0230A3A9" w14:textId="0FB4D063" w:rsidR="003A4705" w:rsidRDefault="003A4705" w:rsidP="00CA207E">
      <w:pPr>
        <w:pStyle w:val="Bullet-Disc"/>
      </w:pPr>
      <w:r>
        <w:t>the partnership between government funders and</w:t>
      </w:r>
      <w:r w:rsidR="0044211B">
        <w:t xml:space="preserve"> service providers </w:t>
      </w:r>
      <w:r w:rsidR="00026B69">
        <w:t>by creating new forms of accountability</w:t>
      </w:r>
    </w:p>
    <w:p w14:paraId="26AB3218" w14:textId="592A6024" w:rsidR="00026B69" w:rsidRDefault="00026B69" w:rsidP="00CA207E">
      <w:pPr>
        <w:pStyle w:val="Bullet-Disc"/>
      </w:pPr>
      <w:r>
        <w:t>the importance of informal networks, community strengths and the central role communities play in achieving broader social impact</w:t>
      </w:r>
    </w:p>
    <w:p w14:paraId="49B73DDD" w14:textId="45CE232C" w:rsidR="00026B69" w:rsidRDefault="00026B69" w:rsidP="00CA207E">
      <w:pPr>
        <w:pStyle w:val="Bullet-Disc"/>
      </w:pPr>
      <w:r>
        <w:lastRenderedPageBreak/>
        <w:t>people-centred, strengths-based approaches to service provision that are informed by lived experience and the voices of people accessing service</w:t>
      </w:r>
      <w:r w:rsidR="00A06E5C">
        <w:t>s</w:t>
      </w:r>
    </w:p>
    <w:p w14:paraId="1A8B07AF" w14:textId="4A7523D3" w:rsidR="00026B69" w:rsidRDefault="00A06E5C" w:rsidP="00CA207E">
      <w:pPr>
        <w:pStyle w:val="Bullet-Disc"/>
      </w:pPr>
      <w:r>
        <w:t>evidence-based interventions informed by data and local, community and provider knowledge</w:t>
      </w:r>
    </w:p>
    <w:p w14:paraId="0AEC34AA" w14:textId="775D05FC" w:rsidR="00A06E5C" w:rsidRDefault="005C3618" w:rsidP="00CA207E">
      <w:pPr>
        <w:pStyle w:val="Bullet-Disc"/>
      </w:pPr>
      <w:r>
        <w:t>innovation and targeted approaches to supporting a community</w:t>
      </w:r>
    </w:p>
    <w:p w14:paraId="46BB8577" w14:textId="2E52A43A" w:rsidR="005C3618" w:rsidRDefault="005C3618" w:rsidP="00CA207E">
      <w:pPr>
        <w:pStyle w:val="Bullet-Disc"/>
      </w:pPr>
      <w:r>
        <w:t xml:space="preserve">our joint capacity to describe </w:t>
      </w:r>
      <w:r w:rsidR="00757EA8">
        <w:t>the impact we are looking to achieve for and with the people who access services</w:t>
      </w:r>
    </w:p>
    <w:p w14:paraId="021779D9" w14:textId="0F02E7CA" w:rsidR="00757EA8" w:rsidRDefault="00757EA8" w:rsidP="00CA207E">
      <w:pPr>
        <w:pStyle w:val="Bullet-Disc"/>
      </w:pPr>
      <w:r>
        <w:t xml:space="preserve">collaboration and referral connections amongst </w:t>
      </w:r>
      <w:r w:rsidR="00B955B0">
        <w:t>service providers and other community organisations</w:t>
      </w:r>
    </w:p>
    <w:p w14:paraId="7D82E0A2" w14:textId="0C74F622" w:rsidR="00B955B0" w:rsidRDefault="00B955B0" w:rsidP="00CA207E">
      <w:pPr>
        <w:pStyle w:val="Bullet-Disc"/>
      </w:pPr>
      <w:r>
        <w:t>relationship-based commissioning and contract management that is open, based on trust and supports innovation and experimentation</w:t>
      </w:r>
    </w:p>
    <w:p w14:paraId="349B53BD" w14:textId="05980A5B" w:rsidR="00DB4E29" w:rsidRPr="001C1139" w:rsidRDefault="00B955B0" w:rsidP="00CA207E">
      <w:pPr>
        <w:pStyle w:val="Bullet-Disc"/>
      </w:pPr>
      <w:r>
        <w:t>the potential for impact by identifying areas for capacity building and encouraging continuous improvement</w:t>
      </w:r>
      <w:r w:rsidR="00C53EEE">
        <w:t xml:space="preserve"> and best practice.</w:t>
      </w:r>
    </w:p>
    <w:p w14:paraId="7AD2BE72" w14:textId="06EED6F0" w:rsidR="00DB4E29" w:rsidRDefault="00DB4E29" w:rsidP="0074055F">
      <w:pPr>
        <w:pStyle w:val="Heading2"/>
      </w:pPr>
      <w:bookmarkStart w:id="7" w:name="_Toc94611864"/>
      <w:r>
        <w:t>How does it work</w:t>
      </w:r>
      <w:r w:rsidR="00B84916">
        <w:t>?</w:t>
      </w:r>
      <w:bookmarkEnd w:id="7"/>
    </w:p>
    <w:p w14:paraId="3E6E5654" w14:textId="77777777" w:rsidR="008378A3" w:rsidRDefault="007F6FA1" w:rsidP="006D2D8E">
      <w:r>
        <w:t xml:space="preserve">The Social Impact Framework provides the basis for government funders </w:t>
      </w:r>
      <w:r w:rsidR="00EA7972">
        <w:t>to have conversations with providers about their program and how they are working to meet each of the evidence-based conditions for social impact.</w:t>
      </w:r>
      <w:r w:rsidR="00591DD5">
        <w:t xml:space="preserve"> </w:t>
      </w:r>
    </w:p>
    <w:p w14:paraId="7C0F9C30" w14:textId="1091E830" w:rsidR="009B3710" w:rsidRDefault="00745AFA" w:rsidP="006D2D8E">
      <w:r>
        <w:t xml:space="preserve">There are </w:t>
      </w:r>
      <w:r w:rsidR="00763CA2" w:rsidRPr="00745AFA">
        <w:rPr>
          <w:b/>
          <w:bCs/>
        </w:rPr>
        <w:t>three key elements</w:t>
      </w:r>
      <w:r w:rsidR="00763CA2">
        <w:t xml:space="preserve"> </w:t>
      </w:r>
      <w:r>
        <w:t>to the Social Impact Framework</w:t>
      </w:r>
      <w:r w:rsidR="009B3710">
        <w:t>:</w:t>
      </w:r>
    </w:p>
    <w:p w14:paraId="4885439E" w14:textId="79009C1A" w:rsidR="008378A3" w:rsidRPr="00BB3F41" w:rsidRDefault="008378A3" w:rsidP="00CA207E">
      <w:pPr>
        <w:pStyle w:val="Bullet-Disc"/>
      </w:pPr>
      <w:r w:rsidRPr="00BB3F41">
        <w:t>Aligned to outcomes</w:t>
      </w:r>
      <w:r>
        <w:t xml:space="preserve"> </w:t>
      </w:r>
      <w:r w:rsidRPr="00BB3F41">
        <w:t>– Social impact objectives</w:t>
      </w:r>
    </w:p>
    <w:p w14:paraId="27718702" w14:textId="4C5774FF" w:rsidR="008378A3" w:rsidRPr="00BB3F41" w:rsidRDefault="008378A3" w:rsidP="00CA207E">
      <w:pPr>
        <w:pStyle w:val="Bullet-Disc"/>
      </w:pPr>
      <w:r w:rsidRPr="00BB3F41">
        <w:t>Designed for impact – Design criteria</w:t>
      </w:r>
    </w:p>
    <w:p w14:paraId="17DF190D" w14:textId="5ACAC226" w:rsidR="008378A3" w:rsidRPr="00BB3F41" w:rsidRDefault="008378A3" w:rsidP="00CA207E">
      <w:pPr>
        <w:pStyle w:val="Bullet-Disc"/>
      </w:pPr>
      <w:r w:rsidRPr="00BB3F41">
        <w:t>Developed in partnership – Partnership principles</w:t>
      </w:r>
    </w:p>
    <w:p w14:paraId="6E5C301D" w14:textId="60C496D5" w:rsidR="00962FF3" w:rsidRDefault="00B972ED" w:rsidP="006D2D8E">
      <w:r>
        <w:t xml:space="preserve">These three elements are underpinned by </w:t>
      </w:r>
      <w:r w:rsidR="008378A3" w:rsidRPr="008378A3">
        <w:t>a</w:t>
      </w:r>
      <w:r w:rsidR="008378A3">
        <w:rPr>
          <w:b/>
          <w:bCs/>
        </w:rPr>
        <w:t xml:space="preserve"> Social Impact Assessment Tool</w:t>
      </w:r>
      <w:r w:rsidR="00170E96">
        <w:t xml:space="preserve"> that </w:t>
      </w:r>
      <w:r w:rsidR="00EA7972">
        <w:t>cover</w:t>
      </w:r>
      <w:r w:rsidR="00C1430B">
        <w:t>s</w:t>
      </w:r>
      <w:r w:rsidR="00EA7972">
        <w:t xml:space="preserve"> a range of discussion points, designed to spark deeper shared understanding of how a program, initiative or service is generating impact for individuals, families and communities.</w:t>
      </w:r>
    </w:p>
    <w:p w14:paraId="45699FB9" w14:textId="77777777" w:rsidR="008378A3" w:rsidRDefault="008378A3">
      <w:pPr>
        <w:rPr>
          <w:rFonts w:ascii="Arial" w:hAnsi="Arial" w:cs="Arial"/>
          <w:b/>
          <w:bCs/>
          <w:sz w:val="32"/>
          <w:szCs w:val="32"/>
        </w:rPr>
      </w:pPr>
      <w:r>
        <w:rPr>
          <w:rFonts w:ascii="Arial" w:hAnsi="Arial" w:cs="Arial"/>
          <w:b/>
          <w:bCs/>
          <w:sz w:val="32"/>
          <w:szCs w:val="32"/>
        </w:rPr>
        <w:br w:type="page"/>
      </w:r>
    </w:p>
    <w:p w14:paraId="64D0CF34" w14:textId="42DE6B44" w:rsidR="008378A3" w:rsidRPr="008378A3" w:rsidRDefault="008378A3" w:rsidP="00AF4631">
      <w:pPr>
        <w:pStyle w:val="Heading2"/>
        <w:numPr>
          <w:ilvl w:val="0"/>
          <w:numId w:val="33"/>
        </w:numPr>
        <w:ind w:hanging="720"/>
      </w:pPr>
      <w:bookmarkStart w:id="8" w:name="_Toc94611865"/>
      <w:r w:rsidRPr="008378A3">
        <w:lastRenderedPageBreak/>
        <w:t>Aligned to outcome</w:t>
      </w:r>
      <w:r w:rsidR="00AA15DC">
        <w:t>s</w:t>
      </w:r>
      <w:r w:rsidRPr="008378A3">
        <w:t xml:space="preserve"> – Social impact objectives</w:t>
      </w:r>
      <w:bookmarkEnd w:id="8"/>
    </w:p>
    <w:p w14:paraId="60A91E8D" w14:textId="69C5EB6A" w:rsidR="00253F78" w:rsidRDefault="007439E9" w:rsidP="00394407">
      <w:r>
        <w:t xml:space="preserve">The Social Impact Objectives (the Objectives) act as outcome clusters across investment </w:t>
      </w:r>
      <w:r w:rsidR="00810DE5">
        <w:t xml:space="preserve">in DHS to ensure there is a mechanism for greater whole-of-government coordination and assessment. These Objectives also provide </w:t>
      </w:r>
      <w:r w:rsidR="00D4405F">
        <w:t>a broader framework for reporting purposes.</w:t>
      </w:r>
    </w:p>
    <w:p w14:paraId="665BA649" w14:textId="0A07F28D" w:rsidR="00D4405F" w:rsidRDefault="00D4405F" w:rsidP="00394407">
      <w:r>
        <w:t>The Objectives are aimed to:</w:t>
      </w:r>
    </w:p>
    <w:p w14:paraId="6DF0BB8D" w14:textId="0235724E" w:rsidR="00D4405F" w:rsidRPr="00AA15DC" w:rsidRDefault="00D52D37" w:rsidP="00CA207E">
      <w:pPr>
        <w:pStyle w:val="Bullet-Disc"/>
      </w:pPr>
      <w:r w:rsidRPr="00394407">
        <w:rPr>
          <w:b/>
          <w:bCs/>
        </w:rPr>
        <w:t>enhance</w:t>
      </w:r>
      <w:r w:rsidR="00617815" w:rsidRPr="00394407">
        <w:rPr>
          <w:b/>
          <w:bCs/>
        </w:rPr>
        <w:t xml:space="preserve"> </w:t>
      </w:r>
      <w:r w:rsidR="00617815" w:rsidRPr="00AA15DC">
        <w:t>strengths-based approaches to service support recognising assets</w:t>
      </w:r>
    </w:p>
    <w:p w14:paraId="44A9D4B6" w14:textId="495CFB7D" w:rsidR="00DC2203" w:rsidRPr="00AA15DC" w:rsidRDefault="00DC2203" w:rsidP="00CA207E">
      <w:pPr>
        <w:pStyle w:val="Bullet-Disc"/>
      </w:pPr>
      <w:r w:rsidRPr="00394407">
        <w:rPr>
          <w:b/>
          <w:bCs/>
        </w:rPr>
        <w:t>reflect</w:t>
      </w:r>
      <w:r w:rsidRPr="00AA15DC">
        <w:t xml:space="preserve"> place-based and community development principles</w:t>
      </w:r>
    </w:p>
    <w:p w14:paraId="2F286319" w14:textId="6B88D2C9" w:rsidR="00F16130" w:rsidRPr="00AA15DC" w:rsidRDefault="00DC2203" w:rsidP="00CA207E">
      <w:pPr>
        <w:pStyle w:val="Bullet-Disc"/>
      </w:pPr>
      <w:r w:rsidRPr="00394407">
        <w:rPr>
          <w:b/>
          <w:bCs/>
        </w:rPr>
        <w:t>capture</w:t>
      </w:r>
      <w:r w:rsidRPr="00AA15DC">
        <w:t xml:space="preserve"> how individuals can improve the quality of their own life and contribute to broader social and economic outcomes.</w:t>
      </w:r>
    </w:p>
    <w:p w14:paraId="442F2239" w14:textId="77777777" w:rsidR="007646FA" w:rsidRDefault="00EE57BF" w:rsidP="00394407">
      <w:r>
        <w:t>Underpinning this shift toward outcomes-led investment is the need to foster more collaborative, cross-</w:t>
      </w:r>
      <w:r w:rsidR="00F16130">
        <w:t>organisational</w:t>
      </w:r>
      <w:r>
        <w:t xml:space="preserve"> approaches to tackling complex social problems and entrench</w:t>
      </w:r>
      <w:r w:rsidR="00F16130">
        <w:t>ed disadvantage within families and communities.</w:t>
      </w:r>
    </w:p>
    <w:p w14:paraId="405CB00F" w14:textId="6E4B6242" w:rsidR="008940E0" w:rsidRDefault="00D52D37" w:rsidP="00394407">
      <w:r w:rsidRPr="00FA36F2">
        <w:rPr>
          <w:b/>
          <w:bCs/>
        </w:rPr>
        <w:t>Five objectives</w:t>
      </w:r>
      <w:r>
        <w:t xml:space="preserve"> underpin quality of life</w:t>
      </w:r>
      <w:r w:rsidR="002D6E88">
        <w:t>,</w:t>
      </w:r>
      <w:r w:rsidR="00AA15DC">
        <w:t xml:space="preserve"> </w:t>
      </w:r>
      <w:r w:rsidR="002D6E88">
        <w:t>however it is only when we take a system level view of investment that we se</w:t>
      </w:r>
      <w:r w:rsidR="00F51C55">
        <w:t>e</w:t>
      </w:r>
      <w:r w:rsidR="002D6E88">
        <w:t xml:space="preserve"> where and how individual programs, policies and strategies are contributing.</w:t>
      </w:r>
    </w:p>
    <w:p w14:paraId="5D0577BC" w14:textId="6C658559" w:rsidR="00C43A4D" w:rsidRDefault="00C43A4D" w:rsidP="00394407">
      <w:r w:rsidRPr="00C43A4D">
        <w:rPr>
          <w:b/>
          <w:bCs/>
        </w:rPr>
        <w:t xml:space="preserve">Belonging </w:t>
      </w:r>
      <w:r>
        <w:t>to communities that are inclusive, equitable and resilient</w:t>
      </w:r>
    </w:p>
    <w:p w14:paraId="0DB9A4B1" w14:textId="1E130F31" w:rsidR="00C43A4D" w:rsidRDefault="00C43A4D" w:rsidP="00394407">
      <w:pPr>
        <w:rPr>
          <w:b/>
          <w:bCs/>
        </w:rPr>
      </w:pPr>
      <w:r w:rsidRPr="00C43A4D">
        <w:rPr>
          <w:b/>
          <w:bCs/>
        </w:rPr>
        <w:t xml:space="preserve">Connecting </w:t>
      </w:r>
      <w:r w:rsidRPr="00C43A4D">
        <w:t>with opportunities to engage and participate</w:t>
      </w:r>
    </w:p>
    <w:p w14:paraId="3F93DC2F" w14:textId="20D44C58" w:rsidR="00C43A4D" w:rsidRDefault="00C43A4D" w:rsidP="00394407">
      <w:r>
        <w:rPr>
          <w:b/>
          <w:bCs/>
        </w:rPr>
        <w:t xml:space="preserve">Building </w:t>
      </w:r>
      <w:r w:rsidRPr="00C43A4D">
        <w:t>resources and skills for self-direction and a fulfilling life</w:t>
      </w:r>
    </w:p>
    <w:p w14:paraId="0B818AD6" w14:textId="280BF27B" w:rsidR="00C43A4D" w:rsidRDefault="00C43A4D" w:rsidP="00394407">
      <w:r w:rsidRPr="00C43A4D">
        <w:rPr>
          <w:b/>
          <w:bCs/>
        </w:rPr>
        <w:t xml:space="preserve">Aspiring </w:t>
      </w:r>
      <w:r>
        <w:t>toward economic social and civic empowerment</w:t>
      </w:r>
    </w:p>
    <w:p w14:paraId="70C9AF79" w14:textId="60556343" w:rsidR="00A6358A" w:rsidRPr="00C43A4D" w:rsidRDefault="00C43A4D" w:rsidP="00C43A4D">
      <w:pPr>
        <w:rPr>
          <w:b/>
          <w:bCs/>
        </w:rPr>
      </w:pPr>
      <w:r w:rsidRPr="00C43A4D">
        <w:rPr>
          <w:b/>
          <w:bCs/>
        </w:rPr>
        <w:t>Creating</w:t>
      </w:r>
      <w:r>
        <w:rPr>
          <w:b/>
          <w:bCs/>
        </w:rPr>
        <w:t xml:space="preserve"> </w:t>
      </w:r>
      <w:r w:rsidRPr="00C43A4D">
        <w:t>safe environments and wellbeing</w:t>
      </w:r>
      <w:r>
        <w:t>.</w:t>
      </w:r>
    </w:p>
    <w:p w14:paraId="7B31EB29" w14:textId="16702E51" w:rsidR="004B59B7" w:rsidRDefault="000A1625" w:rsidP="00394407">
      <w:r>
        <w:t>At a system level, achieving all five objectives will require a well-coordinated eco-system of interventions, with regular review to detect potential gaps, and in response, identify opportunities to create or extend partnerships to address those gaps.</w:t>
      </w:r>
    </w:p>
    <w:p w14:paraId="0E110881" w14:textId="77777777" w:rsidR="00AA15DC" w:rsidRDefault="00AA15DC">
      <w:pPr>
        <w:rPr>
          <w:rFonts w:ascii="Arial" w:hAnsi="Arial" w:cs="Arial"/>
        </w:rPr>
      </w:pPr>
      <w:r>
        <w:rPr>
          <w:rFonts w:ascii="Arial" w:hAnsi="Arial" w:cs="Arial"/>
        </w:rPr>
        <w:br w:type="page"/>
      </w:r>
    </w:p>
    <w:p w14:paraId="47A558D0" w14:textId="774421FB" w:rsidR="00AA15DC" w:rsidRPr="008378A3" w:rsidRDefault="00AA15DC" w:rsidP="00A037C8">
      <w:pPr>
        <w:pStyle w:val="Heading2"/>
        <w:numPr>
          <w:ilvl w:val="0"/>
          <w:numId w:val="33"/>
        </w:numPr>
        <w:ind w:hanging="720"/>
      </w:pPr>
      <w:bookmarkStart w:id="9" w:name="_Toc94611866"/>
      <w:r>
        <w:lastRenderedPageBreak/>
        <w:t>Designed for impact</w:t>
      </w:r>
      <w:r w:rsidRPr="008378A3">
        <w:t xml:space="preserve"> – </w:t>
      </w:r>
      <w:r>
        <w:t>Design criteria</w:t>
      </w:r>
      <w:bookmarkEnd w:id="9"/>
    </w:p>
    <w:p w14:paraId="0FABCB54" w14:textId="31F7E4CB" w:rsidR="00232EA6" w:rsidRDefault="00A1683C" w:rsidP="00394407">
      <w:r>
        <w:t xml:space="preserve">The Design Criteria </w:t>
      </w:r>
      <w:r w:rsidR="00232EA6">
        <w:t xml:space="preserve">seeks to ensure individuals can access a continuum of support to meet their needs within a family, </w:t>
      </w:r>
      <w:r w:rsidR="002A6B17">
        <w:t>community,</w:t>
      </w:r>
      <w:r w:rsidR="00232EA6">
        <w:t xml:space="preserve"> and place-based context.</w:t>
      </w:r>
    </w:p>
    <w:p w14:paraId="0B099B08" w14:textId="52026D6D" w:rsidR="002A6B17" w:rsidRDefault="002A6B17" w:rsidP="00394407">
      <w:r>
        <w:t xml:space="preserve">The </w:t>
      </w:r>
      <w:r w:rsidR="00AA15DC">
        <w:t xml:space="preserve">Design Criteria </w:t>
      </w:r>
      <w:r>
        <w:t>aim is to:</w:t>
      </w:r>
    </w:p>
    <w:p w14:paraId="0D4901AC" w14:textId="36B173BB" w:rsidR="002A6B17" w:rsidRPr="00AA15DC" w:rsidRDefault="002A6B17" w:rsidP="00CA207E">
      <w:pPr>
        <w:pStyle w:val="Bullet-Disc"/>
      </w:pPr>
      <w:r w:rsidRPr="00AA15DC">
        <w:t xml:space="preserve">enshrine best practice approaches to community and family services </w:t>
      </w:r>
      <w:r w:rsidR="009B5128" w:rsidRPr="00AA15DC">
        <w:t>support across human services investment</w:t>
      </w:r>
    </w:p>
    <w:p w14:paraId="50B19ADC" w14:textId="1D69ACB2" w:rsidR="009B5128" w:rsidRPr="00AA15DC" w:rsidRDefault="009B5128" w:rsidP="00CA207E">
      <w:pPr>
        <w:pStyle w:val="Bullet-Disc"/>
      </w:pPr>
      <w:r w:rsidRPr="00AA15DC">
        <w:t>systemise collaboration and partnerships.</w:t>
      </w:r>
    </w:p>
    <w:p w14:paraId="2494998B" w14:textId="6B120183" w:rsidR="003B65D8" w:rsidRDefault="009B5128" w:rsidP="00394407">
      <w:r>
        <w:t xml:space="preserve">The Design Criteria </w:t>
      </w:r>
      <w:r w:rsidR="003B65D8">
        <w:t>is organised into three categories, which encompass a range of elements proven to enhance the effectiveness of program and service decisions, design, and delivery.</w:t>
      </w:r>
      <w:r w:rsidR="00DB3806">
        <w:t xml:space="preserve"> These are:</w:t>
      </w:r>
    </w:p>
    <w:p w14:paraId="781B6B9F" w14:textId="65230AB3" w:rsidR="00AA15DC" w:rsidRPr="00AA15DC" w:rsidRDefault="00AA15DC" w:rsidP="00CA207E">
      <w:pPr>
        <w:pStyle w:val="Bullet-Disc"/>
      </w:pPr>
      <w:r>
        <w:t>e</w:t>
      </w:r>
      <w:r w:rsidRPr="00AA15DC">
        <w:t xml:space="preserve">vidence-informed </w:t>
      </w:r>
    </w:p>
    <w:p w14:paraId="6EF6425D" w14:textId="1B62F109" w:rsidR="00AA15DC" w:rsidRPr="00AA15DC" w:rsidRDefault="00AA15DC" w:rsidP="00CA207E">
      <w:pPr>
        <w:pStyle w:val="Bullet-Disc"/>
      </w:pPr>
      <w:r>
        <w:t>p</w:t>
      </w:r>
      <w:r w:rsidRPr="00AA15DC">
        <w:t>eople-centred approaches</w:t>
      </w:r>
      <w:r w:rsidR="00E803E4" w:rsidRPr="00AA15DC">
        <w:t xml:space="preserve"> </w:t>
      </w:r>
    </w:p>
    <w:p w14:paraId="609D00FC" w14:textId="3D322F63" w:rsidR="00E803E4" w:rsidRPr="00AA15DC" w:rsidRDefault="00AA15DC" w:rsidP="00CA207E">
      <w:pPr>
        <w:pStyle w:val="Bullet-Disc"/>
      </w:pPr>
      <w:r>
        <w:t>s</w:t>
      </w:r>
      <w:r w:rsidRPr="00AA15DC">
        <w:t>ystemised alliances</w:t>
      </w:r>
      <w:r w:rsidR="00EE29A4">
        <w:t>.</w:t>
      </w:r>
    </w:p>
    <w:p w14:paraId="09AD1C91" w14:textId="27907B43" w:rsidR="00C801B4" w:rsidRDefault="00EE29A4" w:rsidP="00394407">
      <w:pPr>
        <w:rPr>
          <w:b/>
          <w:bCs/>
          <w:noProof/>
        </w:rPr>
      </w:pPr>
      <w:r w:rsidRPr="00EE29A4">
        <w:rPr>
          <w:b/>
          <w:bCs/>
          <w:noProof/>
        </w:rPr>
        <w:t>Evidence informed</w:t>
      </w:r>
    </w:p>
    <w:p w14:paraId="6003B3B4" w14:textId="735E4E4F" w:rsidR="00EE29A4" w:rsidRPr="00EE29A4" w:rsidRDefault="00EE29A4" w:rsidP="00CA207E">
      <w:pPr>
        <w:pStyle w:val="Bullet-Disc"/>
      </w:pPr>
      <w:r w:rsidRPr="00EE29A4">
        <w:t xml:space="preserve">community and provider knowledge of needs, strengths and gaps </w:t>
      </w:r>
    </w:p>
    <w:p w14:paraId="0911E5B3" w14:textId="03EF1FA5" w:rsidR="00EE29A4" w:rsidRPr="00EE29A4" w:rsidRDefault="00EE29A4" w:rsidP="00CA207E">
      <w:pPr>
        <w:pStyle w:val="Bullet-Disc"/>
      </w:pPr>
      <w:r w:rsidRPr="00EE29A4">
        <w:t xml:space="preserve">service design and innovation led by community and people with lived experience </w:t>
      </w:r>
    </w:p>
    <w:p w14:paraId="0EA5A752" w14:textId="4574E257" w:rsidR="00EE29A4" w:rsidRPr="00EE29A4" w:rsidRDefault="00EE29A4" w:rsidP="00CA207E">
      <w:pPr>
        <w:pStyle w:val="Bullet-Disc"/>
      </w:pPr>
      <w:r w:rsidRPr="00EE29A4">
        <w:t xml:space="preserve">place-based analysis of population data, priority groups, needs and service provision </w:t>
      </w:r>
    </w:p>
    <w:p w14:paraId="6CD57E1F" w14:textId="79D730D4" w:rsidR="00EE29A4" w:rsidRDefault="00EE29A4" w:rsidP="00CA207E">
      <w:pPr>
        <w:pStyle w:val="Bullet-Disc"/>
      </w:pPr>
      <w:r w:rsidRPr="00EE29A4">
        <w:t>research on risk factors and evidence-led best practice interventions</w:t>
      </w:r>
      <w:r>
        <w:t>.</w:t>
      </w:r>
    </w:p>
    <w:p w14:paraId="04EFF480" w14:textId="4E33C68A" w:rsidR="00EE29A4" w:rsidRPr="00EE29A4" w:rsidRDefault="00EE29A4" w:rsidP="00394407">
      <w:pPr>
        <w:rPr>
          <w:b/>
          <w:bCs/>
          <w:noProof/>
        </w:rPr>
      </w:pPr>
      <w:r w:rsidRPr="00EE29A4">
        <w:rPr>
          <w:b/>
          <w:bCs/>
          <w:noProof/>
        </w:rPr>
        <w:t>People-centred approaches</w:t>
      </w:r>
    </w:p>
    <w:p w14:paraId="04838B73" w14:textId="52A7DE96" w:rsidR="00EE29A4" w:rsidRPr="00EE29A4" w:rsidRDefault="00EE29A4" w:rsidP="00CA207E">
      <w:pPr>
        <w:pStyle w:val="Bullet-Disc"/>
      </w:pPr>
      <w:r w:rsidRPr="00EE29A4">
        <w:t xml:space="preserve">individual and family context and needs of each person </w:t>
      </w:r>
    </w:p>
    <w:p w14:paraId="4589700D" w14:textId="2F421C36" w:rsidR="00EE29A4" w:rsidRPr="00EE29A4" w:rsidRDefault="00EE29A4" w:rsidP="00CA207E">
      <w:pPr>
        <w:pStyle w:val="Bullet-Disc"/>
      </w:pPr>
      <w:r w:rsidRPr="00EE29A4">
        <w:t xml:space="preserve">centrality of client experience and voice </w:t>
      </w:r>
    </w:p>
    <w:p w14:paraId="449C822E" w14:textId="59F1903D" w:rsidR="00EE29A4" w:rsidRPr="00EE29A4" w:rsidRDefault="00EE29A4" w:rsidP="00CA207E">
      <w:pPr>
        <w:pStyle w:val="Bullet-Disc"/>
      </w:pPr>
      <w:r w:rsidRPr="00EE29A4">
        <w:t xml:space="preserve">strengths-based approach that recognises and develops individual agency </w:t>
      </w:r>
    </w:p>
    <w:p w14:paraId="4F79372A" w14:textId="687E8BA8" w:rsidR="00EE29A4" w:rsidRDefault="00EE29A4" w:rsidP="00CA207E">
      <w:pPr>
        <w:pStyle w:val="Bullet-Disc"/>
      </w:pPr>
      <w:r w:rsidRPr="00EE29A4">
        <w:t>culturally appropriate and responsive</w:t>
      </w:r>
      <w:r>
        <w:t>.</w:t>
      </w:r>
    </w:p>
    <w:p w14:paraId="59C093CE" w14:textId="06849FD4" w:rsidR="00EE29A4" w:rsidRDefault="00EE29A4" w:rsidP="00394407">
      <w:pPr>
        <w:rPr>
          <w:b/>
          <w:bCs/>
        </w:rPr>
      </w:pPr>
      <w:r w:rsidRPr="00EE29A4">
        <w:rPr>
          <w:b/>
          <w:bCs/>
        </w:rPr>
        <w:t>Systemised alliances</w:t>
      </w:r>
    </w:p>
    <w:p w14:paraId="65B2E50C" w14:textId="1E73596C" w:rsidR="00EE29A4" w:rsidRPr="00EE29A4" w:rsidRDefault="00EE29A4" w:rsidP="00CA207E">
      <w:pPr>
        <w:pStyle w:val="Bullet-Disc"/>
      </w:pPr>
      <w:r w:rsidRPr="00EE29A4">
        <w:t xml:space="preserve">building alliances across Social Impact Objectives </w:t>
      </w:r>
    </w:p>
    <w:p w14:paraId="1B09E55D" w14:textId="371ECB4A" w:rsidR="00EE29A4" w:rsidRPr="00EE29A4" w:rsidRDefault="00EE29A4" w:rsidP="00CA207E">
      <w:pPr>
        <w:pStyle w:val="Bullet-Disc"/>
      </w:pPr>
      <w:r w:rsidRPr="00EE29A4">
        <w:t xml:space="preserve">valuing existing place-based networks and assets </w:t>
      </w:r>
    </w:p>
    <w:p w14:paraId="65B0D8C1" w14:textId="7722ADEA" w:rsidR="00EE29A4" w:rsidRPr="00EE29A4" w:rsidRDefault="00EE29A4" w:rsidP="00CA207E">
      <w:pPr>
        <w:pStyle w:val="Bullet-Disc"/>
      </w:pPr>
      <w:r w:rsidRPr="00EE29A4">
        <w:t xml:space="preserve">strong referral partnerships for Continuum of Care </w:t>
      </w:r>
    </w:p>
    <w:p w14:paraId="01DD81B9" w14:textId="4ABF39EA" w:rsidR="00FB4233" w:rsidRPr="00394407" w:rsidRDefault="00EE29A4" w:rsidP="00CA207E">
      <w:pPr>
        <w:pStyle w:val="Bullet-Disc"/>
      </w:pPr>
      <w:r w:rsidRPr="00EE29A4">
        <w:t>managed transition points and connection into community for sustainable outcomes</w:t>
      </w:r>
      <w:r>
        <w:t>.</w:t>
      </w:r>
    </w:p>
    <w:p w14:paraId="0367B18C" w14:textId="48CB22C4" w:rsidR="00EE29A4" w:rsidRPr="008378A3" w:rsidRDefault="00EE29A4" w:rsidP="00A037C8">
      <w:pPr>
        <w:pStyle w:val="Heading2"/>
        <w:numPr>
          <w:ilvl w:val="0"/>
          <w:numId w:val="33"/>
        </w:numPr>
        <w:ind w:hanging="720"/>
      </w:pPr>
      <w:bookmarkStart w:id="10" w:name="_Toc94611867"/>
      <w:r>
        <w:t xml:space="preserve">Developed in partnership </w:t>
      </w:r>
      <w:r w:rsidRPr="008378A3">
        <w:t xml:space="preserve">– </w:t>
      </w:r>
      <w:r>
        <w:t>Partnership principles</w:t>
      </w:r>
      <w:bookmarkEnd w:id="10"/>
    </w:p>
    <w:p w14:paraId="524AE2E6" w14:textId="5A0C8240" w:rsidR="0081088A" w:rsidRDefault="00D165AE" w:rsidP="00394407">
      <w:pPr>
        <w:rPr>
          <w:noProof/>
        </w:rPr>
      </w:pPr>
      <w:r>
        <w:rPr>
          <w:noProof/>
        </w:rPr>
        <w:t xml:space="preserve">The Partnership </w:t>
      </w:r>
      <w:r w:rsidR="00207AF9">
        <w:rPr>
          <w:noProof/>
        </w:rPr>
        <w:t>P</w:t>
      </w:r>
      <w:r>
        <w:rPr>
          <w:noProof/>
        </w:rPr>
        <w:t>rinciples reflect</w:t>
      </w:r>
      <w:r w:rsidR="0081088A">
        <w:rPr>
          <w:noProof/>
        </w:rPr>
        <w:t>:</w:t>
      </w:r>
    </w:p>
    <w:p w14:paraId="3A6D57C0" w14:textId="7200062F" w:rsidR="0081088A" w:rsidRPr="00EE29A4" w:rsidRDefault="0081088A" w:rsidP="00394407">
      <w:r w:rsidRPr="00EE29A4">
        <w:rPr>
          <w:b/>
          <w:bCs/>
        </w:rPr>
        <w:t>Premiers Circular 44</w:t>
      </w:r>
      <w:r w:rsidRPr="00EE29A4">
        <w:t xml:space="preserve"> (previously known as South Australian Not-for-profit Rules and Guidelines</w:t>
      </w:r>
      <w:r w:rsidR="00A105C8" w:rsidRPr="00EE29A4">
        <w:t>)</w:t>
      </w:r>
    </w:p>
    <w:p w14:paraId="05FA353C" w14:textId="51FA198E" w:rsidR="00A105C8" w:rsidRPr="00EE29A4" w:rsidRDefault="00A105C8" w:rsidP="00394407">
      <w:r w:rsidRPr="00EE29A4">
        <w:rPr>
          <w:b/>
          <w:bCs/>
        </w:rPr>
        <w:t>Australian productivity Commission’s</w:t>
      </w:r>
      <w:r w:rsidRPr="00EE29A4">
        <w:t xml:space="preserve"> recommendations on contemporary commissioning practice in Human Services.</w:t>
      </w:r>
    </w:p>
    <w:p w14:paraId="02B33382" w14:textId="7AAE6D04" w:rsidR="00A105C8" w:rsidRDefault="00C45B7F" w:rsidP="00394407">
      <w:r>
        <w:lastRenderedPageBreak/>
        <w:t>The Social Impact Framework provides a mechanism for enacting these principles in collaboration with the sector to build shared accountability, co-contribution and capacity building.</w:t>
      </w:r>
    </w:p>
    <w:p w14:paraId="109932CF" w14:textId="46B6A789" w:rsidR="00C45B7F" w:rsidRDefault="00C45B7F" w:rsidP="00394407">
      <w:r>
        <w:t>The aim is to enable joint</w:t>
      </w:r>
      <w:r w:rsidR="009B71E4">
        <w:t xml:space="preserve"> </w:t>
      </w:r>
      <w:r>
        <w:t>stewardship of system quality so that service deliver</w:t>
      </w:r>
      <w:r w:rsidR="00F51C55">
        <w:t>y</w:t>
      </w:r>
      <w:r>
        <w:t xml:space="preserve"> is more responsive and effective in generating social impact.</w:t>
      </w:r>
    </w:p>
    <w:p w14:paraId="096C5C13" w14:textId="5238CC8C" w:rsidR="00D44DD9" w:rsidRPr="00394407" w:rsidRDefault="00EE29A4" w:rsidP="00394407">
      <w:pPr>
        <w:rPr>
          <w:b/>
          <w:bCs/>
        </w:rPr>
      </w:pPr>
      <w:r w:rsidRPr="00394407">
        <w:rPr>
          <w:b/>
          <w:bCs/>
        </w:rPr>
        <w:t>Shared accountability</w:t>
      </w:r>
    </w:p>
    <w:p w14:paraId="3AA20D23" w14:textId="7FB4D75E" w:rsidR="00EE29A4" w:rsidRPr="00EE29A4" w:rsidRDefault="00EE29A4" w:rsidP="00CA207E">
      <w:pPr>
        <w:pStyle w:val="Bullet-Disc"/>
      </w:pPr>
      <w:r w:rsidRPr="00EE29A4">
        <w:t>Transparency, data sharing, clear parameters for funding and purpose</w:t>
      </w:r>
    </w:p>
    <w:p w14:paraId="271E1791" w14:textId="26BCC02C" w:rsidR="00EE29A4" w:rsidRPr="00EE29A4" w:rsidRDefault="00EE29A4" w:rsidP="00CA207E">
      <w:pPr>
        <w:pStyle w:val="Bullet-Disc"/>
      </w:pPr>
      <w:r w:rsidRPr="00EE29A4">
        <w:t>Agreement on co-contribution not attribution.</w:t>
      </w:r>
    </w:p>
    <w:p w14:paraId="6255B7E0" w14:textId="670788F5" w:rsidR="00EE29A4" w:rsidRPr="00394407" w:rsidRDefault="00EE29A4" w:rsidP="00394407">
      <w:pPr>
        <w:rPr>
          <w:b/>
          <w:bCs/>
        </w:rPr>
      </w:pPr>
      <w:r w:rsidRPr="00394407">
        <w:rPr>
          <w:b/>
          <w:bCs/>
        </w:rPr>
        <w:t xml:space="preserve">Coordinated and aligned </w:t>
      </w:r>
    </w:p>
    <w:p w14:paraId="0875412D" w14:textId="24656EBB" w:rsidR="00EE29A4" w:rsidRPr="00EE29A4" w:rsidRDefault="00EE29A4" w:rsidP="00CA207E">
      <w:pPr>
        <w:pStyle w:val="Bullet-Disc"/>
      </w:pPr>
      <w:r w:rsidRPr="00EE29A4">
        <w:t xml:space="preserve">Build understanding of program in context of related funded programs </w:t>
      </w:r>
    </w:p>
    <w:p w14:paraId="4B339144" w14:textId="621D5358" w:rsidR="00F8793E" w:rsidRDefault="00EE29A4" w:rsidP="00CA207E">
      <w:pPr>
        <w:pStyle w:val="Bullet-Disc"/>
      </w:pPr>
      <w:r w:rsidRPr="00EE29A4">
        <w:t>Increase coordination and connection with other government agencies and services</w:t>
      </w:r>
      <w:r>
        <w:t>.</w:t>
      </w:r>
    </w:p>
    <w:p w14:paraId="4C075B32" w14:textId="5F59F533" w:rsidR="00F8793E" w:rsidRPr="00394407" w:rsidRDefault="00F8793E" w:rsidP="00394407">
      <w:pPr>
        <w:rPr>
          <w:b/>
          <w:bCs/>
        </w:rPr>
      </w:pPr>
      <w:r w:rsidRPr="00394407">
        <w:rPr>
          <w:b/>
          <w:bCs/>
        </w:rPr>
        <w:t>Relationship-based</w:t>
      </w:r>
    </w:p>
    <w:p w14:paraId="3C5E79EB" w14:textId="3213C5BC" w:rsidR="00F8793E" w:rsidRPr="00F8793E" w:rsidRDefault="00F8793E" w:rsidP="00CA207E">
      <w:pPr>
        <w:pStyle w:val="Bullet-Disc"/>
      </w:pPr>
      <w:r w:rsidRPr="00F8793E">
        <w:t xml:space="preserve">Authentic, open relationships between funders and providers </w:t>
      </w:r>
    </w:p>
    <w:p w14:paraId="63BFC445" w14:textId="07659711" w:rsidR="00F8793E" w:rsidRPr="00F8793E" w:rsidRDefault="00F8793E" w:rsidP="00CA207E">
      <w:pPr>
        <w:pStyle w:val="Bullet-Disc"/>
      </w:pPr>
      <w:r w:rsidRPr="00F8793E">
        <w:t>Build understanding of the conditions for program and service delivery.</w:t>
      </w:r>
    </w:p>
    <w:p w14:paraId="62B80CE7" w14:textId="4ED9838D" w:rsidR="00F8793E" w:rsidRPr="00394407" w:rsidRDefault="00F8793E" w:rsidP="00394407">
      <w:pPr>
        <w:rPr>
          <w:b/>
          <w:bCs/>
        </w:rPr>
      </w:pPr>
      <w:r w:rsidRPr="00394407">
        <w:rPr>
          <w:b/>
          <w:bCs/>
        </w:rPr>
        <w:t>Innovative and responsive</w:t>
      </w:r>
    </w:p>
    <w:p w14:paraId="5FA86344" w14:textId="17089AD8" w:rsidR="00F8793E" w:rsidRPr="00F8793E" w:rsidRDefault="00F8793E" w:rsidP="00CA207E">
      <w:pPr>
        <w:pStyle w:val="Bullet-Disc"/>
      </w:pPr>
      <w:r w:rsidRPr="00F8793E">
        <w:t xml:space="preserve">Improve access to quality services, meet emerging and changing needs </w:t>
      </w:r>
    </w:p>
    <w:p w14:paraId="1A133FB9" w14:textId="2D5B5658" w:rsidR="00F8793E" w:rsidRDefault="00F8793E" w:rsidP="00CA207E">
      <w:pPr>
        <w:pStyle w:val="Bullet-Disc"/>
      </w:pPr>
      <w:r w:rsidRPr="00F8793E">
        <w:t>Increase capacity to seize opportunities, new ideas and partnerships</w:t>
      </w:r>
      <w:r>
        <w:t>.</w:t>
      </w:r>
    </w:p>
    <w:p w14:paraId="240C36F3" w14:textId="45B1EE40" w:rsidR="00F8793E" w:rsidRPr="00394407" w:rsidRDefault="00F8793E" w:rsidP="00394407">
      <w:pPr>
        <w:rPr>
          <w:b/>
          <w:bCs/>
        </w:rPr>
      </w:pPr>
      <w:r w:rsidRPr="00394407">
        <w:rPr>
          <w:b/>
          <w:bCs/>
        </w:rPr>
        <w:t>Robust evidence and evaluation</w:t>
      </w:r>
    </w:p>
    <w:p w14:paraId="65BDC7D7" w14:textId="7AC64341" w:rsidR="00F8793E" w:rsidRPr="00F8793E" w:rsidRDefault="00F8793E" w:rsidP="00CA207E">
      <w:pPr>
        <w:pStyle w:val="Bullet-Disc"/>
      </w:pPr>
      <w:r w:rsidRPr="00F8793E">
        <w:t xml:space="preserve">Assess and build data reporting capabilities and evidence base </w:t>
      </w:r>
    </w:p>
    <w:p w14:paraId="3397C89F" w14:textId="165FC42B" w:rsidR="00F8793E" w:rsidRPr="00394407" w:rsidRDefault="00F8793E" w:rsidP="00CA207E">
      <w:pPr>
        <w:pStyle w:val="Bullet-Disc"/>
      </w:pPr>
      <w:r w:rsidRPr="00F8793E">
        <w:t>Establish evaluation frameworks and processes</w:t>
      </w:r>
      <w:r>
        <w:t>.</w:t>
      </w:r>
    </w:p>
    <w:p w14:paraId="1FDE07AB" w14:textId="77777777" w:rsidR="00F8793E" w:rsidRPr="00394407" w:rsidRDefault="00F8793E" w:rsidP="00394407">
      <w:pPr>
        <w:rPr>
          <w:b/>
          <w:bCs/>
        </w:rPr>
      </w:pPr>
      <w:r w:rsidRPr="00394407">
        <w:rPr>
          <w:b/>
          <w:bCs/>
        </w:rPr>
        <w:t>Capacity for improvement</w:t>
      </w:r>
    </w:p>
    <w:p w14:paraId="19D5FF0A" w14:textId="5201887D" w:rsidR="00F8793E" w:rsidRPr="00F8793E" w:rsidRDefault="00F8793E" w:rsidP="00CA207E">
      <w:pPr>
        <w:pStyle w:val="Bullet-Disc"/>
      </w:pPr>
      <w:r w:rsidRPr="00F8793E">
        <w:t xml:space="preserve">Establish strong foundations for quality (accreditations and workforce) </w:t>
      </w:r>
    </w:p>
    <w:p w14:paraId="01A42ABA" w14:textId="5291F8AC" w:rsidR="001B7786" w:rsidRPr="00F8793E" w:rsidRDefault="00F8793E" w:rsidP="00CA207E">
      <w:pPr>
        <w:pStyle w:val="Bullet-Disc"/>
      </w:pPr>
      <w:r w:rsidRPr="00F8793E">
        <w:t>Identify and strengthen capacity to meet the conditions of social impact</w:t>
      </w:r>
      <w:r>
        <w:t>.</w:t>
      </w:r>
    </w:p>
    <w:p w14:paraId="602F0642" w14:textId="77777777" w:rsidR="00F8793E" w:rsidRPr="0074055F" w:rsidRDefault="00F8793E" w:rsidP="0074055F">
      <w:pPr>
        <w:pStyle w:val="Heading2"/>
      </w:pPr>
      <w:bookmarkStart w:id="11" w:name="_Toc94611868"/>
      <w:r w:rsidRPr="0074055F">
        <w:t>Social Impact Framework Assessment Tool</w:t>
      </w:r>
      <w:bookmarkEnd w:id="11"/>
      <w:r w:rsidRPr="0074055F">
        <w:t xml:space="preserve"> </w:t>
      </w:r>
    </w:p>
    <w:p w14:paraId="5B50F42E" w14:textId="77777777" w:rsidR="00F8793E" w:rsidRPr="00F8793E" w:rsidRDefault="00F8793E" w:rsidP="009A6236">
      <w:r w:rsidRPr="00F8793E">
        <w:t xml:space="preserve">The Assessment Tool is used to assess and optimise the social impact potential of investment in community and family services. </w:t>
      </w:r>
    </w:p>
    <w:p w14:paraId="7CCAB982" w14:textId="2249404E" w:rsidR="00F8793E" w:rsidRPr="00F8793E" w:rsidRDefault="007832B0" w:rsidP="009A6236">
      <w:r>
        <w:t>Each of the nine steps cover a range of discussion points, designed to spark deeper shared understanding of how a program, initiative or service is generating social impact</w:t>
      </w:r>
      <w:r w:rsidR="009602B5">
        <w:t>.</w:t>
      </w:r>
    </w:p>
    <w:p w14:paraId="01B5CD7D" w14:textId="083BA1E6" w:rsidR="00F8793E" w:rsidRDefault="00F8793E" w:rsidP="009A6236">
      <w:r w:rsidRPr="00F8793E">
        <w:t>The Social Impact Framework is not designed to be a compliance tool and is intended to provide greater value than simple ‘yes’ or ‘no’ answers.</w:t>
      </w:r>
    </w:p>
    <w:p w14:paraId="7118F21F" w14:textId="6987D6AA" w:rsidR="009602B5" w:rsidRDefault="009602B5" w:rsidP="009A6236">
      <w:r>
        <w:t>Steps 1</w:t>
      </w:r>
      <w:r w:rsidR="009F69E3">
        <w:t>–</w:t>
      </w:r>
      <w:r w:rsidR="0033582B">
        <w:t>6 assist with assessing the capacity of a</w:t>
      </w:r>
      <w:r w:rsidR="00277313">
        <w:t xml:space="preserve">n </w:t>
      </w:r>
      <w:r w:rsidR="0033582B">
        <w:t>initiative or overall investment to generate social impact.</w:t>
      </w:r>
    </w:p>
    <w:p w14:paraId="6830B0C1" w14:textId="5CC77E16" w:rsidR="006D5907" w:rsidRDefault="00417C05" w:rsidP="00417C05">
      <w:pPr>
        <w:pStyle w:val="Heading3"/>
      </w:pPr>
      <w:r w:rsidRPr="00417C05">
        <w:lastRenderedPageBreak/>
        <w:t>Aligned to outcomes</w:t>
      </w:r>
    </w:p>
    <w:p w14:paraId="6C3CF173" w14:textId="74522799" w:rsidR="00417C05" w:rsidRDefault="0088565F" w:rsidP="0088565F">
      <w:pPr>
        <w:pStyle w:val="Bullet-Disc"/>
      </w:pPr>
      <w:r w:rsidRPr="0088565F">
        <w:t>Step 1</w:t>
      </w:r>
      <w:r w:rsidR="00650F69">
        <w:t xml:space="preserve">: </w:t>
      </w:r>
      <w:r w:rsidRPr="0088565F">
        <w:t>Government priorities</w:t>
      </w:r>
    </w:p>
    <w:p w14:paraId="5AC9DFAE" w14:textId="49E1035B" w:rsidR="0088565F" w:rsidRDefault="0088565F" w:rsidP="0088565F">
      <w:pPr>
        <w:pStyle w:val="Bullet-Disc"/>
      </w:pPr>
      <w:r w:rsidRPr="0088565F">
        <w:t>Step 2</w:t>
      </w:r>
      <w:r w:rsidR="00650F69">
        <w:t xml:space="preserve">: </w:t>
      </w:r>
      <w:r w:rsidRPr="0088565F">
        <w:t>Social impact objectives</w:t>
      </w:r>
    </w:p>
    <w:p w14:paraId="3D83202E" w14:textId="536B290C" w:rsidR="0088565F" w:rsidRDefault="0088565F" w:rsidP="0088565F">
      <w:pPr>
        <w:pStyle w:val="Bullet-Disc"/>
      </w:pPr>
      <w:r w:rsidRPr="0088565F">
        <w:t>Step 3</w:t>
      </w:r>
      <w:r w:rsidR="00650F69">
        <w:t xml:space="preserve">: </w:t>
      </w:r>
      <w:r w:rsidRPr="0088565F">
        <w:t>Outcome indicators</w:t>
      </w:r>
      <w:r>
        <w:t>.</w:t>
      </w:r>
    </w:p>
    <w:p w14:paraId="54A7CA70" w14:textId="09476ED6" w:rsidR="0088565F" w:rsidRDefault="0088565F" w:rsidP="0088565F">
      <w:pPr>
        <w:pStyle w:val="Heading3"/>
      </w:pPr>
      <w:r w:rsidRPr="0088565F">
        <w:t>Designed for impact</w:t>
      </w:r>
    </w:p>
    <w:p w14:paraId="763BAE3F" w14:textId="45FCBF73" w:rsidR="0088565F" w:rsidRDefault="0088565F" w:rsidP="0088565F">
      <w:pPr>
        <w:pStyle w:val="Bullet-Disc"/>
      </w:pPr>
      <w:r>
        <w:t xml:space="preserve">Step </w:t>
      </w:r>
      <w:r w:rsidR="00650F69">
        <w:t xml:space="preserve">4: </w:t>
      </w:r>
      <w:r>
        <w:t>Evidence informed</w:t>
      </w:r>
    </w:p>
    <w:p w14:paraId="5D2B4DCD" w14:textId="3FC55329" w:rsidR="0088565F" w:rsidRDefault="0088565F" w:rsidP="0088565F">
      <w:pPr>
        <w:pStyle w:val="Bullet-Disc"/>
      </w:pPr>
      <w:r>
        <w:t>Step 5</w:t>
      </w:r>
      <w:r w:rsidR="00650F69">
        <w:t xml:space="preserve">: </w:t>
      </w:r>
      <w:r>
        <w:t>People-centred approaches</w:t>
      </w:r>
    </w:p>
    <w:p w14:paraId="26774326" w14:textId="1A24DA55" w:rsidR="0088565F" w:rsidRDefault="0088565F" w:rsidP="0088565F">
      <w:pPr>
        <w:pStyle w:val="Bullet-Disc"/>
      </w:pPr>
      <w:r>
        <w:t>Step 6</w:t>
      </w:r>
      <w:r w:rsidR="00650F69">
        <w:t xml:space="preserve">: </w:t>
      </w:r>
      <w:r>
        <w:t>Systemised alliances</w:t>
      </w:r>
      <w:r>
        <w:t>.</w:t>
      </w:r>
    </w:p>
    <w:p w14:paraId="1CD93A3A" w14:textId="77777777" w:rsidR="00103497" w:rsidRPr="00103497" w:rsidRDefault="00103497" w:rsidP="00103497">
      <w:r w:rsidRPr="00103497">
        <w:t>Steps 7–9 are systems-orientated and are focused on supporting optimisation of service delivery to generate maximum social impact.</w:t>
      </w:r>
    </w:p>
    <w:p w14:paraId="1473BBF8" w14:textId="35B5164E" w:rsidR="0088565F" w:rsidRDefault="0088565F" w:rsidP="0088565F">
      <w:pPr>
        <w:pStyle w:val="Heading3"/>
      </w:pPr>
      <w:r>
        <w:t>Developed in partnership</w:t>
      </w:r>
    </w:p>
    <w:p w14:paraId="7F258DF1" w14:textId="388A2F35" w:rsidR="0088565F" w:rsidRDefault="0088565F" w:rsidP="0088565F">
      <w:pPr>
        <w:pStyle w:val="Bullet-Disc"/>
      </w:pPr>
      <w:r>
        <w:t>Step 7</w:t>
      </w:r>
      <w:r w:rsidR="00650F69">
        <w:t xml:space="preserve">: </w:t>
      </w:r>
      <w:r>
        <w:t>Shared accountability</w:t>
      </w:r>
    </w:p>
    <w:p w14:paraId="41864895" w14:textId="7DB66DE5" w:rsidR="0088565F" w:rsidRDefault="0088565F" w:rsidP="0088565F">
      <w:pPr>
        <w:pStyle w:val="Bullet-Disc"/>
      </w:pPr>
      <w:r>
        <w:t>Step 8</w:t>
      </w:r>
      <w:r w:rsidR="00650F69">
        <w:t xml:space="preserve">: </w:t>
      </w:r>
      <w:r>
        <w:t>Relationship-based</w:t>
      </w:r>
    </w:p>
    <w:p w14:paraId="37FC1ACA" w14:textId="34C96A3E" w:rsidR="0088565F" w:rsidRDefault="0088565F" w:rsidP="0088565F">
      <w:pPr>
        <w:pStyle w:val="Bullet-Disc"/>
      </w:pPr>
      <w:r>
        <w:t>Step 9</w:t>
      </w:r>
      <w:r w:rsidR="00650F69">
        <w:t xml:space="preserve">: </w:t>
      </w:r>
      <w:r>
        <w:t>Capacity for improvement</w:t>
      </w:r>
      <w:r>
        <w:t>.</w:t>
      </w:r>
    </w:p>
    <w:p w14:paraId="670D53DE" w14:textId="77777777" w:rsidR="004C6493" w:rsidRPr="004C6493" w:rsidRDefault="004C6493" w:rsidP="0074055F">
      <w:pPr>
        <w:pStyle w:val="Heading2"/>
      </w:pPr>
      <w:bookmarkStart w:id="12" w:name="_Toc94611869"/>
      <w:r w:rsidRPr="004C6493">
        <w:t>Thank you to our partners</w:t>
      </w:r>
      <w:bookmarkEnd w:id="12"/>
      <w:r w:rsidRPr="004C6493">
        <w:t xml:space="preserve"> </w:t>
      </w:r>
    </w:p>
    <w:p w14:paraId="05576AF5" w14:textId="77777777" w:rsidR="004C6493" w:rsidRPr="004C6493" w:rsidRDefault="004C6493" w:rsidP="004C6493">
      <w:r w:rsidRPr="004C6493">
        <w:t xml:space="preserve">The Social Impact Framework has been developed by The Australian Alliance for Social Enterprise (TAASE), the Department of Human Services (DHS) and sector partners. Thank you to everyone involved in developing the framework. Your invaluable input and insight will continue to inform the implementation of the framework as we move forward in partnership. </w:t>
      </w:r>
    </w:p>
    <w:p w14:paraId="05AEDD6C" w14:textId="77777777" w:rsidR="004C6493" w:rsidRPr="004C6493" w:rsidRDefault="004C6493" w:rsidP="0074055F">
      <w:pPr>
        <w:pStyle w:val="Heading2"/>
      </w:pPr>
      <w:bookmarkStart w:id="13" w:name="_Toc94611870"/>
      <w:r w:rsidRPr="004C6493">
        <w:t>Contact us</w:t>
      </w:r>
      <w:bookmarkEnd w:id="13"/>
      <w:r w:rsidRPr="004C6493">
        <w:t xml:space="preserve"> </w:t>
      </w:r>
    </w:p>
    <w:p w14:paraId="31CDF93F" w14:textId="7BED1099" w:rsidR="004C6493" w:rsidRPr="004C6493" w:rsidRDefault="00A037C8" w:rsidP="004C6493">
      <w:r>
        <w:t xml:space="preserve">Email </w:t>
      </w:r>
      <w:hyperlink r:id="rId8" w:history="1">
        <w:r w:rsidRPr="00C00500">
          <w:rPr>
            <w:rStyle w:val="Hyperlink"/>
          </w:rPr>
          <w:t>DHS.SocialInclusion@sa.gov.au</w:t>
        </w:r>
      </w:hyperlink>
      <w:r w:rsidR="000D4A20">
        <w:br/>
      </w:r>
      <w:r>
        <w:t xml:space="preserve">Phone </w:t>
      </w:r>
      <w:r w:rsidR="004C6493" w:rsidRPr="004C6493">
        <w:t xml:space="preserve">(08) 8415 4383 </w:t>
      </w:r>
      <w:r w:rsidR="000D4A20">
        <w:br/>
      </w:r>
      <w:r>
        <w:t xml:space="preserve">Website: </w:t>
      </w:r>
      <w:r w:rsidR="00EE2CA6">
        <w:fldChar w:fldCharType="begin"/>
      </w:r>
      <w:r w:rsidR="00EE2CA6">
        <w:instrText xml:space="preserve"> HYPERLINK "http://www.dhs.sa.gov.au" </w:instrText>
      </w:r>
      <w:r w:rsidR="00EE2CA6">
        <w:fldChar w:fldCharType="separate"/>
      </w:r>
      <w:r w:rsidRPr="00C00500">
        <w:rPr>
          <w:rStyle w:val="Hyperlink"/>
        </w:rPr>
        <w:t>www.dhs.sa.gov.au</w:t>
      </w:r>
      <w:r w:rsidR="00EE2CA6">
        <w:rPr>
          <w:rStyle w:val="Hyperlink"/>
        </w:rPr>
        <w:fldChar w:fldCharType="end"/>
      </w:r>
    </w:p>
    <w:p w14:paraId="45DFC2F3" w14:textId="77777777" w:rsidR="004C6493" w:rsidRPr="004C6493" w:rsidRDefault="004C6493" w:rsidP="0074055F">
      <w:pPr>
        <w:pStyle w:val="Heading2"/>
      </w:pPr>
      <w:bookmarkStart w:id="14" w:name="_Toc94611871"/>
      <w:r w:rsidRPr="004C6493">
        <w:t>Social media</w:t>
      </w:r>
      <w:bookmarkEnd w:id="14"/>
      <w:r w:rsidRPr="004C6493">
        <w:t xml:space="preserve"> </w:t>
      </w:r>
    </w:p>
    <w:p w14:paraId="3446AEAF" w14:textId="77777777" w:rsidR="004C6493" w:rsidRPr="004C6493" w:rsidRDefault="004C6493" w:rsidP="00E30A6D">
      <w:r w:rsidRPr="004C6493">
        <w:t xml:space="preserve">/HumanServicesSA </w:t>
      </w:r>
    </w:p>
    <w:p w14:paraId="16A83137" w14:textId="40C2C619" w:rsidR="004C6493" w:rsidRPr="004C6493" w:rsidRDefault="004C6493" w:rsidP="0074055F">
      <w:pPr>
        <w:pStyle w:val="Heading2"/>
      </w:pPr>
      <w:bookmarkStart w:id="15" w:name="_Toc94611872"/>
      <w:r w:rsidRPr="004C6493">
        <w:t>Feedback</w:t>
      </w:r>
      <w:bookmarkEnd w:id="15"/>
    </w:p>
    <w:p w14:paraId="11E6492E" w14:textId="7F359BAA" w:rsidR="004C6493" w:rsidRPr="004C6493" w:rsidRDefault="004C6493" w:rsidP="004C6493">
      <w:r w:rsidRPr="004C6493">
        <w:t xml:space="preserve">DHS Client Feedback </w:t>
      </w:r>
      <w:r w:rsidR="00A037C8">
        <w:br/>
        <w:t>Mail</w:t>
      </w:r>
      <w:r w:rsidR="000D4A20">
        <w:t xml:space="preserve"> to </w:t>
      </w:r>
      <w:r w:rsidRPr="004C6493">
        <w:t xml:space="preserve">GPO Box 292 Adelaide SA 5001 </w:t>
      </w:r>
      <w:r w:rsidR="000D4A20">
        <w:br/>
        <w:t xml:space="preserve">Email </w:t>
      </w:r>
      <w:hyperlink r:id="rId9" w:history="1">
        <w:r w:rsidR="000D4A20" w:rsidRPr="00C00500">
          <w:rPr>
            <w:rStyle w:val="Hyperlink"/>
          </w:rPr>
          <w:t>DHS.clientfeedbackandcomplaints@sa.gov.au</w:t>
        </w:r>
      </w:hyperlink>
    </w:p>
    <w:p w14:paraId="4A92280D" w14:textId="77777777" w:rsidR="004C6493" w:rsidRPr="004C6493" w:rsidRDefault="004C6493" w:rsidP="0074055F">
      <w:pPr>
        <w:pStyle w:val="Heading2"/>
      </w:pPr>
      <w:bookmarkStart w:id="16" w:name="_Toc94611873"/>
      <w:r w:rsidRPr="004C6493">
        <w:t>Alternative formats</w:t>
      </w:r>
      <w:bookmarkEnd w:id="16"/>
      <w:r w:rsidRPr="004C6493">
        <w:t xml:space="preserve"> </w:t>
      </w:r>
    </w:p>
    <w:p w14:paraId="6417595B" w14:textId="77777777" w:rsidR="004C6493" w:rsidRPr="004C6493" w:rsidRDefault="004C6493" w:rsidP="004C6493">
      <w:r w:rsidRPr="004C6493">
        <w:t xml:space="preserve">The information in this publication can be provided in an alternative format or another language on request by calling (08) 8415 4383. </w:t>
      </w:r>
    </w:p>
    <w:p w14:paraId="3AAFE9A9" w14:textId="7151050E" w:rsidR="004C6493" w:rsidRPr="000D4A20" w:rsidRDefault="003878A3" w:rsidP="004C6493">
      <w:r w:rsidRPr="000D4A20">
        <w:t xml:space="preserve">October 2021 | DHS-1436 | </w:t>
      </w:r>
      <w:r w:rsidR="004C6493" w:rsidRPr="000D4A20">
        <w:t xml:space="preserve">Kylie Heneker </w:t>
      </w:r>
      <w:r w:rsidR="00873CD9" w:rsidRPr="000D4A20">
        <w:t xml:space="preserve">| </w:t>
      </w:r>
      <w:r w:rsidR="004C6493" w:rsidRPr="000D4A20">
        <w:t>Ian Goodwin-Smith</w:t>
      </w:r>
    </w:p>
    <w:sectPr w:rsidR="004C6493" w:rsidRPr="000D4A20" w:rsidSect="00023AAF">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1802" w14:textId="77777777" w:rsidR="00EE2CA6" w:rsidRDefault="00EE2CA6" w:rsidP="00A037C8">
      <w:pPr>
        <w:spacing w:after="0" w:line="240" w:lineRule="auto"/>
      </w:pPr>
      <w:r>
        <w:separator/>
      </w:r>
    </w:p>
  </w:endnote>
  <w:endnote w:type="continuationSeparator" w:id="0">
    <w:p w14:paraId="3B29EBC5" w14:textId="77777777" w:rsidR="00EE2CA6" w:rsidRDefault="00EE2CA6" w:rsidP="00A0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22649"/>
      <w:docPartObj>
        <w:docPartGallery w:val="Page Numbers (Bottom of Page)"/>
        <w:docPartUnique/>
      </w:docPartObj>
    </w:sdtPr>
    <w:sdtEndPr/>
    <w:sdtContent>
      <w:sdt>
        <w:sdtPr>
          <w:id w:val="1728636285"/>
          <w:docPartObj>
            <w:docPartGallery w:val="Page Numbers (Top of Page)"/>
            <w:docPartUnique/>
          </w:docPartObj>
        </w:sdtPr>
        <w:sdtEndPr/>
        <w:sdtContent>
          <w:p w14:paraId="41B967BC" w14:textId="122D238A" w:rsidR="00A037C8" w:rsidRDefault="00A037C8" w:rsidP="00925D0F">
            <w:pPr>
              <w:pStyle w:val="Footer"/>
            </w:pPr>
            <w:r w:rsidRPr="00A037C8">
              <w:t xml:space="preserve">Page </w:t>
            </w:r>
            <w:r w:rsidRPr="00A037C8">
              <w:fldChar w:fldCharType="begin"/>
            </w:r>
            <w:r w:rsidRPr="00A037C8">
              <w:instrText xml:space="preserve"> PAGE </w:instrText>
            </w:r>
            <w:r w:rsidRPr="00A037C8">
              <w:fldChar w:fldCharType="separate"/>
            </w:r>
            <w:r w:rsidRPr="00A037C8">
              <w:t>2</w:t>
            </w:r>
            <w:r w:rsidRPr="00A037C8">
              <w:fldChar w:fldCharType="end"/>
            </w:r>
            <w:r w:rsidRPr="00A037C8">
              <w:t xml:space="preserve"> of </w:t>
            </w:r>
            <w:r w:rsidR="00EE2CA6">
              <w:fldChar w:fldCharType="begin"/>
            </w:r>
            <w:r w:rsidR="00EE2CA6">
              <w:instrText xml:space="preserve"> NUMPAGES  </w:instrText>
            </w:r>
            <w:r w:rsidR="00EE2CA6">
              <w:fldChar w:fldCharType="separate"/>
            </w:r>
            <w:r w:rsidRPr="00A037C8">
              <w:t>2</w:t>
            </w:r>
            <w:r w:rsidR="00EE2CA6">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CC17" w14:textId="77777777" w:rsidR="00EE2CA6" w:rsidRDefault="00EE2CA6" w:rsidP="00A037C8">
      <w:pPr>
        <w:spacing w:after="0" w:line="240" w:lineRule="auto"/>
      </w:pPr>
      <w:r>
        <w:separator/>
      </w:r>
    </w:p>
  </w:footnote>
  <w:footnote w:type="continuationSeparator" w:id="0">
    <w:p w14:paraId="62576897" w14:textId="77777777" w:rsidR="00EE2CA6" w:rsidRDefault="00EE2CA6" w:rsidP="00A03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AC0"/>
    <w:multiLevelType w:val="hybridMultilevel"/>
    <w:tmpl w:val="E810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D58F8"/>
    <w:multiLevelType w:val="hybridMultilevel"/>
    <w:tmpl w:val="B894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3606A"/>
    <w:multiLevelType w:val="hybridMultilevel"/>
    <w:tmpl w:val="26560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479DC"/>
    <w:multiLevelType w:val="hybridMultilevel"/>
    <w:tmpl w:val="9AA6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3697"/>
    <w:multiLevelType w:val="hybridMultilevel"/>
    <w:tmpl w:val="41B0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A231D"/>
    <w:multiLevelType w:val="hybridMultilevel"/>
    <w:tmpl w:val="A972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2544C"/>
    <w:multiLevelType w:val="hybridMultilevel"/>
    <w:tmpl w:val="5A0E3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D6351"/>
    <w:multiLevelType w:val="hybridMultilevel"/>
    <w:tmpl w:val="EF76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85F83"/>
    <w:multiLevelType w:val="hybridMultilevel"/>
    <w:tmpl w:val="D0F0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A58BA"/>
    <w:multiLevelType w:val="hybridMultilevel"/>
    <w:tmpl w:val="588E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079BB"/>
    <w:multiLevelType w:val="hybridMultilevel"/>
    <w:tmpl w:val="A4A8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07D45"/>
    <w:multiLevelType w:val="hybridMultilevel"/>
    <w:tmpl w:val="09AE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E100E"/>
    <w:multiLevelType w:val="hybridMultilevel"/>
    <w:tmpl w:val="3DBC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A1223"/>
    <w:multiLevelType w:val="hybridMultilevel"/>
    <w:tmpl w:val="D6F0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C3C7F"/>
    <w:multiLevelType w:val="hybridMultilevel"/>
    <w:tmpl w:val="0872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62EB6"/>
    <w:multiLevelType w:val="hybridMultilevel"/>
    <w:tmpl w:val="8F54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44115"/>
    <w:multiLevelType w:val="hybridMultilevel"/>
    <w:tmpl w:val="1234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42FE5"/>
    <w:multiLevelType w:val="hybridMultilevel"/>
    <w:tmpl w:val="28EE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5E5E2E"/>
    <w:multiLevelType w:val="hybridMultilevel"/>
    <w:tmpl w:val="94A6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64913"/>
    <w:multiLevelType w:val="hybridMultilevel"/>
    <w:tmpl w:val="2F72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B5B8E"/>
    <w:multiLevelType w:val="hybridMultilevel"/>
    <w:tmpl w:val="1C3C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C6728"/>
    <w:multiLevelType w:val="hybridMultilevel"/>
    <w:tmpl w:val="C820E90C"/>
    <w:lvl w:ilvl="0" w:tplc="1004AE6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294855"/>
    <w:multiLevelType w:val="hybridMultilevel"/>
    <w:tmpl w:val="37AA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121E8"/>
    <w:multiLevelType w:val="hybridMultilevel"/>
    <w:tmpl w:val="118C69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24561A"/>
    <w:multiLevelType w:val="hybridMultilevel"/>
    <w:tmpl w:val="C5B6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2D7BAF"/>
    <w:multiLevelType w:val="hybridMultilevel"/>
    <w:tmpl w:val="830C0188"/>
    <w:lvl w:ilvl="0" w:tplc="3D3A52CA">
      <w:start w:val="1"/>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72A97"/>
    <w:multiLevelType w:val="hybridMultilevel"/>
    <w:tmpl w:val="D7045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C27230"/>
    <w:multiLevelType w:val="hybridMultilevel"/>
    <w:tmpl w:val="D120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52D21"/>
    <w:multiLevelType w:val="hybridMultilevel"/>
    <w:tmpl w:val="7A127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5713A3"/>
    <w:multiLevelType w:val="hybridMultilevel"/>
    <w:tmpl w:val="2FC0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7A2B01"/>
    <w:multiLevelType w:val="hybridMultilevel"/>
    <w:tmpl w:val="0CD80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9D6232"/>
    <w:multiLevelType w:val="hybridMultilevel"/>
    <w:tmpl w:val="E89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527DBE"/>
    <w:multiLevelType w:val="hybridMultilevel"/>
    <w:tmpl w:val="73C8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B3291D"/>
    <w:multiLevelType w:val="hybridMultilevel"/>
    <w:tmpl w:val="D6F8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504220"/>
    <w:multiLevelType w:val="hybridMultilevel"/>
    <w:tmpl w:val="FC78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444D19"/>
    <w:multiLevelType w:val="hybridMultilevel"/>
    <w:tmpl w:val="0210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17479F"/>
    <w:multiLevelType w:val="hybridMultilevel"/>
    <w:tmpl w:val="AC1A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E536A"/>
    <w:multiLevelType w:val="hybridMultilevel"/>
    <w:tmpl w:val="B4BA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973297"/>
    <w:multiLevelType w:val="hybridMultilevel"/>
    <w:tmpl w:val="174E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1B1DF1"/>
    <w:multiLevelType w:val="hybridMultilevel"/>
    <w:tmpl w:val="CFD4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ED018A"/>
    <w:multiLevelType w:val="hybridMultilevel"/>
    <w:tmpl w:val="6D74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AA416E"/>
    <w:multiLevelType w:val="hybridMultilevel"/>
    <w:tmpl w:val="93D6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6747B9"/>
    <w:multiLevelType w:val="hybridMultilevel"/>
    <w:tmpl w:val="7B1E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67073"/>
    <w:multiLevelType w:val="hybridMultilevel"/>
    <w:tmpl w:val="A50E9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F44BEB"/>
    <w:multiLevelType w:val="hybridMultilevel"/>
    <w:tmpl w:val="5F048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A65D0B"/>
    <w:multiLevelType w:val="hybridMultilevel"/>
    <w:tmpl w:val="75D6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246104"/>
    <w:multiLevelType w:val="hybridMultilevel"/>
    <w:tmpl w:val="2FBC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A0782F"/>
    <w:multiLevelType w:val="hybridMultilevel"/>
    <w:tmpl w:val="D5F8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F76D87"/>
    <w:multiLevelType w:val="hybridMultilevel"/>
    <w:tmpl w:val="5154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E6430B"/>
    <w:multiLevelType w:val="hybridMultilevel"/>
    <w:tmpl w:val="8B2A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33"/>
  </w:num>
  <w:num w:numId="6">
    <w:abstractNumId w:val="42"/>
  </w:num>
  <w:num w:numId="7">
    <w:abstractNumId w:val="49"/>
  </w:num>
  <w:num w:numId="8">
    <w:abstractNumId w:val="12"/>
  </w:num>
  <w:num w:numId="9">
    <w:abstractNumId w:val="27"/>
  </w:num>
  <w:num w:numId="10">
    <w:abstractNumId w:val="10"/>
  </w:num>
  <w:num w:numId="11">
    <w:abstractNumId w:val="0"/>
  </w:num>
  <w:num w:numId="12">
    <w:abstractNumId w:val="38"/>
  </w:num>
  <w:num w:numId="13">
    <w:abstractNumId w:val="29"/>
  </w:num>
  <w:num w:numId="14">
    <w:abstractNumId w:val="48"/>
  </w:num>
  <w:num w:numId="15">
    <w:abstractNumId w:val="26"/>
  </w:num>
  <w:num w:numId="16">
    <w:abstractNumId w:val="23"/>
  </w:num>
  <w:num w:numId="17">
    <w:abstractNumId w:val="43"/>
  </w:num>
  <w:num w:numId="18">
    <w:abstractNumId w:val="28"/>
  </w:num>
  <w:num w:numId="19">
    <w:abstractNumId w:val="35"/>
  </w:num>
  <w:num w:numId="20">
    <w:abstractNumId w:val="39"/>
  </w:num>
  <w:num w:numId="21">
    <w:abstractNumId w:val="41"/>
  </w:num>
  <w:num w:numId="22">
    <w:abstractNumId w:val="34"/>
  </w:num>
  <w:num w:numId="23">
    <w:abstractNumId w:val="9"/>
  </w:num>
  <w:num w:numId="24">
    <w:abstractNumId w:val="30"/>
  </w:num>
  <w:num w:numId="25">
    <w:abstractNumId w:val="24"/>
  </w:num>
  <w:num w:numId="26">
    <w:abstractNumId w:val="32"/>
  </w:num>
  <w:num w:numId="27">
    <w:abstractNumId w:val="45"/>
  </w:num>
  <w:num w:numId="28">
    <w:abstractNumId w:val="20"/>
  </w:num>
  <w:num w:numId="29">
    <w:abstractNumId w:val="22"/>
  </w:num>
  <w:num w:numId="30">
    <w:abstractNumId w:val="40"/>
  </w:num>
  <w:num w:numId="31">
    <w:abstractNumId w:val="8"/>
  </w:num>
  <w:num w:numId="32">
    <w:abstractNumId w:val="25"/>
  </w:num>
  <w:num w:numId="33">
    <w:abstractNumId w:val="2"/>
  </w:num>
  <w:num w:numId="34">
    <w:abstractNumId w:val="19"/>
  </w:num>
  <w:num w:numId="35">
    <w:abstractNumId w:val="3"/>
  </w:num>
  <w:num w:numId="36">
    <w:abstractNumId w:val="36"/>
  </w:num>
  <w:num w:numId="37">
    <w:abstractNumId w:val="6"/>
  </w:num>
  <w:num w:numId="38">
    <w:abstractNumId w:val="15"/>
  </w:num>
  <w:num w:numId="39">
    <w:abstractNumId w:val="4"/>
  </w:num>
  <w:num w:numId="40">
    <w:abstractNumId w:val="46"/>
  </w:num>
  <w:num w:numId="41">
    <w:abstractNumId w:val="17"/>
  </w:num>
  <w:num w:numId="42">
    <w:abstractNumId w:val="44"/>
  </w:num>
  <w:num w:numId="43">
    <w:abstractNumId w:val="37"/>
  </w:num>
  <w:num w:numId="44">
    <w:abstractNumId w:val="13"/>
  </w:num>
  <w:num w:numId="45">
    <w:abstractNumId w:val="14"/>
  </w:num>
  <w:num w:numId="46">
    <w:abstractNumId w:val="16"/>
  </w:num>
  <w:num w:numId="47">
    <w:abstractNumId w:val="21"/>
  </w:num>
  <w:num w:numId="48">
    <w:abstractNumId w:val="47"/>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5F"/>
    <w:rsid w:val="00023AAF"/>
    <w:rsid w:val="00026B69"/>
    <w:rsid w:val="00031EC5"/>
    <w:rsid w:val="0003354E"/>
    <w:rsid w:val="00044E41"/>
    <w:rsid w:val="00045452"/>
    <w:rsid w:val="00047674"/>
    <w:rsid w:val="0004783C"/>
    <w:rsid w:val="000652BA"/>
    <w:rsid w:val="00065DB2"/>
    <w:rsid w:val="00066961"/>
    <w:rsid w:val="00072B7E"/>
    <w:rsid w:val="00083219"/>
    <w:rsid w:val="000A1625"/>
    <w:rsid w:val="000D4A20"/>
    <w:rsid w:val="000D707D"/>
    <w:rsid w:val="00100D69"/>
    <w:rsid w:val="00103497"/>
    <w:rsid w:val="00110CA8"/>
    <w:rsid w:val="00117F64"/>
    <w:rsid w:val="00134BDC"/>
    <w:rsid w:val="00153FFF"/>
    <w:rsid w:val="00157A42"/>
    <w:rsid w:val="00170E96"/>
    <w:rsid w:val="00181755"/>
    <w:rsid w:val="00183ACD"/>
    <w:rsid w:val="001850E1"/>
    <w:rsid w:val="00186017"/>
    <w:rsid w:val="001A6AA0"/>
    <w:rsid w:val="001B6888"/>
    <w:rsid w:val="001B6D45"/>
    <w:rsid w:val="001B7786"/>
    <w:rsid w:val="001C1139"/>
    <w:rsid w:val="00207AF9"/>
    <w:rsid w:val="00212062"/>
    <w:rsid w:val="00232EA6"/>
    <w:rsid w:val="00240A00"/>
    <w:rsid w:val="002523F5"/>
    <w:rsid w:val="00253F78"/>
    <w:rsid w:val="00270998"/>
    <w:rsid w:val="00275F6B"/>
    <w:rsid w:val="00277313"/>
    <w:rsid w:val="00286E37"/>
    <w:rsid w:val="00293E12"/>
    <w:rsid w:val="002948C2"/>
    <w:rsid w:val="00296AE9"/>
    <w:rsid w:val="002A6B17"/>
    <w:rsid w:val="002B437C"/>
    <w:rsid w:val="002C4EB8"/>
    <w:rsid w:val="002D4B52"/>
    <w:rsid w:val="002D6E88"/>
    <w:rsid w:val="002E08AB"/>
    <w:rsid w:val="002E2ED7"/>
    <w:rsid w:val="002F594E"/>
    <w:rsid w:val="002F783C"/>
    <w:rsid w:val="002F7CE4"/>
    <w:rsid w:val="00322CED"/>
    <w:rsid w:val="00333ECF"/>
    <w:rsid w:val="0033582B"/>
    <w:rsid w:val="00336C95"/>
    <w:rsid w:val="0034085C"/>
    <w:rsid w:val="003428DD"/>
    <w:rsid w:val="003671AB"/>
    <w:rsid w:val="003878A3"/>
    <w:rsid w:val="00390645"/>
    <w:rsid w:val="00394407"/>
    <w:rsid w:val="00397A97"/>
    <w:rsid w:val="003A465F"/>
    <w:rsid w:val="003A4705"/>
    <w:rsid w:val="003B4340"/>
    <w:rsid w:val="003B65D8"/>
    <w:rsid w:val="003B664F"/>
    <w:rsid w:val="003E46B3"/>
    <w:rsid w:val="003F038C"/>
    <w:rsid w:val="00400CBA"/>
    <w:rsid w:val="0040538D"/>
    <w:rsid w:val="00413329"/>
    <w:rsid w:val="00417C05"/>
    <w:rsid w:val="0043017C"/>
    <w:rsid w:val="0044211B"/>
    <w:rsid w:val="00452CAF"/>
    <w:rsid w:val="00452E30"/>
    <w:rsid w:val="00454E08"/>
    <w:rsid w:val="004757CE"/>
    <w:rsid w:val="004B275F"/>
    <w:rsid w:val="004B2F07"/>
    <w:rsid w:val="004B31EC"/>
    <w:rsid w:val="004B59B7"/>
    <w:rsid w:val="004C6493"/>
    <w:rsid w:val="004D61B7"/>
    <w:rsid w:val="004D7045"/>
    <w:rsid w:val="004E1588"/>
    <w:rsid w:val="004F7E35"/>
    <w:rsid w:val="0050196B"/>
    <w:rsid w:val="005041B5"/>
    <w:rsid w:val="005329CA"/>
    <w:rsid w:val="005373BF"/>
    <w:rsid w:val="0054143A"/>
    <w:rsid w:val="00551867"/>
    <w:rsid w:val="0055534C"/>
    <w:rsid w:val="00556622"/>
    <w:rsid w:val="005674CA"/>
    <w:rsid w:val="00590EA3"/>
    <w:rsid w:val="00591DD5"/>
    <w:rsid w:val="00592085"/>
    <w:rsid w:val="005964A1"/>
    <w:rsid w:val="005A2695"/>
    <w:rsid w:val="005B2ACA"/>
    <w:rsid w:val="005C3618"/>
    <w:rsid w:val="005D5325"/>
    <w:rsid w:val="0061365C"/>
    <w:rsid w:val="00617815"/>
    <w:rsid w:val="006446D7"/>
    <w:rsid w:val="00650F69"/>
    <w:rsid w:val="00662AE9"/>
    <w:rsid w:val="00685653"/>
    <w:rsid w:val="00687E81"/>
    <w:rsid w:val="00696282"/>
    <w:rsid w:val="006A749C"/>
    <w:rsid w:val="006B1DDD"/>
    <w:rsid w:val="006B4F9C"/>
    <w:rsid w:val="006B6BA3"/>
    <w:rsid w:val="006D2D8E"/>
    <w:rsid w:val="006D5907"/>
    <w:rsid w:val="006E2909"/>
    <w:rsid w:val="006E2FAB"/>
    <w:rsid w:val="007113AF"/>
    <w:rsid w:val="00721D90"/>
    <w:rsid w:val="00732487"/>
    <w:rsid w:val="0073303C"/>
    <w:rsid w:val="0074055F"/>
    <w:rsid w:val="007439E9"/>
    <w:rsid w:val="00745AFA"/>
    <w:rsid w:val="007460B7"/>
    <w:rsid w:val="007528B9"/>
    <w:rsid w:val="00756ABB"/>
    <w:rsid w:val="00757EA8"/>
    <w:rsid w:val="00763CA2"/>
    <w:rsid w:val="007646FA"/>
    <w:rsid w:val="0077395A"/>
    <w:rsid w:val="0077506E"/>
    <w:rsid w:val="007832B0"/>
    <w:rsid w:val="0078711C"/>
    <w:rsid w:val="007A1B69"/>
    <w:rsid w:val="007B16C0"/>
    <w:rsid w:val="007C3345"/>
    <w:rsid w:val="007C7A61"/>
    <w:rsid w:val="007D22FB"/>
    <w:rsid w:val="007D639E"/>
    <w:rsid w:val="007D6467"/>
    <w:rsid w:val="007F12BC"/>
    <w:rsid w:val="007F1E79"/>
    <w:rsid w:val="007F6FA1"/>
    <w:rsid w:val="00801C11"/>
    <w:rsid w:val="0081088A"/>
    <w:rsid w:val="00810DE5"/>
    <w:rsid w:val="00816F47"/>
    <w:rsid w:val="008236CE"/>
    <w:rsid w:val="00827864"/>
    <w:rsid w:val="008315B4"/>
    <w:rsid w:val="00836CB9"/>
    <w:rsid w:val="008378A3"/>
    <w:rsid w:val="0084063D"/>
    <w:rsid w:val="0084344D"/>
    <w:rsid w:val="0085629C"/>
    <w:rsid w:val="0087276E"/>
    <w:rsid w:val="00873CD9"/>
    <w:rsid w:val="00874576"/>
    <w:rsid w:val="0088565F"/>
    <w:rsid w:val="008940E0"/>
    <w:rsid w:val="008A3267"/>
    <w:rsid w:val="008C4593"/>
    <w:rsid w:val="009033EF"/>
    <w:rsid w:val="009245FE"/>
    <w:rsid w:val="00925D0F"/>
    <w:rsid w:val="00926358"/>
    <w:rsid w:val="00927458"/>
    <w:rsid w:val="009602B5"/>
    <w:rsid w:val="00962FF3"/>
    <w:rsid w:val="00971BAE"/>
    <w:rsid w:val="00973D8C"/>
    <w:rsid w:val="0099317F"/>
    <w:rsid w:val="00997FF5"/>
    <w:rsid w:val="009A6236"/>
    <w:rsid w:val="009B27D3"/>
    <w:rsid w:val="009B3710"/>
    <w:rsid w:val="009B5128"/>
    <w:rsid w:val="009B71E4"/>
    <w:rsid w:val="009F65E7"/>
    <w:rsid w:val="009F69E3"/>
    <w:rsid w:val="009F6FCC"/>
    <w:rsid w:val="00A037C8"/>
    <w:rsid w:val="00A06E5C"/>
    <w:rsid w:val="00A105C8"/>
    <w:rsid w:val="00A14373"/>
    <w:rsid w:val="00A1683C"/>
    <w:rsid w:val="00A21B18"/>
    <w:rsid w:val="00A568BD"/>
    <w:rsid w:val="00A6358A"/>
    <w:rsid w:val="00A641C5"/>
    <w:rsid w:val="00A66A37"/>
    <w:rsid w:val="00A71174"/>
    <w:rsid w:val="00A81A8E"/>
    <w:rsid w:val="00A821F0"/>
    <w:rsid w:val="00A95148"/>
    <w:rsid w:val="00AA15DC"/>
    <w:rsid w:val="00AB62C8"/>
    <w:rsid w:val="00AB70BE"/>
    <w:rsid w:val="00AC4669"/>
    <w:rsid w:val="00AC6B08"/>
    <w:rsid w:val="00AD707B"/>
    <w:rsid w:val="00AE75EC"/>
    <w:rsid w:val="00AF4631"/>
    <w:rsid w:val="00B23311"/>
    <w:rsid w:val="00B260BF"/>
    <w:rsid w:val="00B33EE1"/>
    <w:rsid w:val="00B36EBD"/>
    <w:rsid w:val="00B41329"/>
    <w:rsid w:val="00B425B8"/>
    <w:rsid w:val="00B43957"/>
    <w:rsid w:val="00B46B48"/>
    <w:rsid w:val="00B74907"/>
    <w:rsid w:val="00B74A38"/>
    <w:rsid w:val="00B84916"/>
    <w:rsid w:val="00B917AF"/>
    <w:rsid w:val="00B955B0"/>
    <w:rsid w:val="00B96F4A"/>
    <w:rsid w:val="00B972ED"/>
    <w:rsid w:val="00BA6623"/>
    <w:rsid w:val="00BB3F41"/>
    <w:rsid w:val="00BC34EB"/>
    <w:rsid w:val="00BE20F6"/>
    <w:rsid w:val="00BF4BA4"/>
    <w:rsid w:val="00C112E5"/>
    <w:rsid w:val="00C1430B"/>
    <w:rsid w:val="00C20237"/>
    <w:rsid w:val="00C20979"/>
    <w:rsid w:val="00C26897"/>
    <w:rsid w:val="00C43A4D"/>
    <w:rsid w:val="00C44210"/>
    <w:rsid w:val="00C45B7F"/>
    <w:rsid w:val="00C51A75"/>
    <w:rsid w:val="00C53717"/>
    <w:rsid w:val="00C53EEE"/>
    <w:rsid w:val="00C663E0"/>
    <w:rsid w:val="00C75174"/>
    <w:rsid w:val="00C801B4"/>
    <w:rsid w:val="00CA207E"/>
    <w:rsid w:val="00CC4992"/>
    <w:rsid w:val="00CC6719"/>
    <w:rsid w:val="00CC7A45"/>
    <w:rsid w:val="00CD1D57"/>
    <w:rsid w:val="00D165AE"/>
    <w:rsid w:val="00D237C4"/>
    <w:rsid w:val="00D316A0"/>
    <w:rsid w:val="00D4405F"/>
    <w:rsid w:val="00D44DD9"/>
    <w:rsid w:val="00D46FA4"/>
    <w:rsid w:val="00D512A1"/>
    <w:rsid w:val="00D52D37"/>
    <w:rsid w:val="00D73286"/>
    <w:rsid w:val="00D739E6"/>
    <w:rsid w:val="00DB3806"/>
    <w:rsid w:val="00DB4E29"/>
    <w:rsid w:val="00DC2203"/>
    <w:rsid w:val="00DC4760"/>
    <w:rsid w:val="00E10645"/>
    <w:rsid w:val="00E30A6D"/>
    <w:rsid w:val="00E3620A"/>
    <w:rsid w:val="00E42103"/>
    <w:rsid w:val="00E45543"/>
    <w:rsid w:val="00E60620"/>
    <w:rsid w:val="00E64C0E"/>
    <w:rsid w:val="00E720D4"/>
    <w:rsid w:val="00E803E4"/>
    <w:rsid w:val="00E92103"/>
    <w:rsid w:val="00EA6DFB"/>
    <w:rsid w:val="00EA7972"/>
    <w:rsid w:val="00ED06AA"/>
    <w:rsid w:val="00ED6C25"/>
    <w:rsid w:val="00EE29A4"/>
    <w:rsid w:val="00EE2CA6"/>
    <w:rsid w:val="00EE57BF"/>
    <w:rsid w:val="00EE61F8"/>
    <w:rsid w:val="00EF18C0"/>
    <w:rsid w:val="00F12CB2"/>
    <w:rsid w:val="00F16130"/>
    <w:rsid w:val="00F20AAF"/>
    <w:rsid w:val="00F32BA9"/>
    <w:rsid w:val="00F32E7F"/>
    <w:rsid w:val="00F51C55"/>
    <w:rsid w:val="00F8793E"/>
    <w:rsid w:val="00FA1BDE"/>
    <w:rsid w:val="00FA36F2"/>
    <w:rsid w:val="00FA5AB9"/>
    <w:rsid w:val="00FB4233"/>
    <w:rsid w:val="00FC551E"/>
    <w:rsid w:val="00FC72E2"/>
    <w:rsid w:val="00FE62E5"/>
    <w:rsid w:val="00FF1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CB7B"/>
  <w15:chartTrackingRefBased/>
  <w15:docId w15:val="{5A08B2EA-53E0-458C-A5DE-E736C93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5F"/>
    <w:rPr>
      <w:sz w:val="25"/>
    </w:rPr>
  </w:style>
  <w:style w:type="paragraph" w:styleId="Heading1">
    <w:name w:val="heading 1"/>
    <w:basedOn w:val="Normal"/>
    <w:next w:val="Normal"/>
    <w:link w:val="Heading1Char"/>
    <w:uiPriority w:val="9"/>
    <w:qFormat/>
    <w:rsid w:val="001C11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55F"/>
    <w:pPr>
      <w:keepNext/>
      <w:keepLines/>
      <w:spacing w:before="300" w:after="100"/>
      <w:outlineLvl w:val="1"/>
    </w:pPr>
    <w:rPr>
      <w:rFonts w:ascii="Bahnschrift SemiBold" w:eastAsiaTheme="majorEastAsia" w:hAnsi="Bahnschrift SemiBold" w:cstheme="majorBidi"/>
      <w:color w:val="2F5496" w:themeColor="accent1" w:themeShade="BF"/>
      <w:sz w:val="34"/>
      <w:szCs w:val="34"/>
    </w:rPr>
  </w:style>
  <w:style w:type="paragraph" w:styleId="Heading3">
    <w:name w:val="heading 3"/>
    <w:basedOn w:val="Normal"/>
    <w:next w:val="Normal"/>
    <w:link w:val="Heading3Char"/>
    <w:uiPriority w:val="9"/>
    <w:unhideWhenUsed/>
    <w:qFormat/>
    <w:rsid w:val="00417C05"/>
    <w:pPr>
      <w:keepNext/>
      <w:keepLines/>
      <w:spacing w:before="40" w:after="0"/>
      <w:outlineLvl w:val="2"/>
    </w:pPr>
    <w:rPr>
      <w:rFonts w:ascii="Bahnschrift SemiBold" w:eastAsiaTheme="majorEastAsia" w:hAnsi="Bahnschrift SemiBold" w:cstheme="majorBidi"/>
      <w:color w:val="000000" w:themeColor="text1"/>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7E"/>
    <w:pPr>
      <w:numPr>
        <w:numId w:val="47"/>
      </w:numPr>
      <w:tabs>
        <w:tab w:val="left" w:pos="426"/>
      </w:tabs>
      <w:ind w:left="426" w:hanging="426"/>
      <w:contextualSpacing/>
    </w:pPr>
  </w:style>
  <w:style w:type="table" w:styleId="TableGrid">
    <w:name w:val="Table Grid"/>
    <w:basedOn w:val="TableNormal"/>
    <w:uiPriority w:val="39"/>
    <w:rsid w:val="0018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C7A6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1C55"/>
    <w:rPr>
      <w:sz w:val="16"/>
      <w:szCs w:val="16"/>
    </w:rPr>
  </w:style>
  <w:style w:type="paragraph" w:styleId="CommentText">
    <w:name w:val="annotation text"/>
    <w:basedOn w:val="Normal"/>
    <w:link w:val="CommentTextChar"/>
    <w:uiPriority w:val="99"/>
    <w:semiHidden/>
    <w:unhideWhenUsed/>
    <w:rsid w:val="00F51C55"/>
    <w:pPr>
      <w:spacing w:line="240" w:lineRule="auto"/>
    </w:pPr>
    <w:rPr>
      <w:sz w:val="20"/>
      <w:szCs w:val="20"/>
    </w:rPr>
  </w:style>
  <w:style w:type="character" w:customStyle="1" w:styleId="CommentTextChar">
    <w:name w:val="Comment Text Char"/>
    <w:basedOn w:val="DefaultParagraphFont"/>
    <w:link w:val="CommentText"/>
    <w:uiPriority w:val="99"/>
    <w:semiHidden/>
    <w:rsid w:val="00F51C55"/>
    <w:rPr>
      <w:sz w:val="20"/>
      <w:szCs w:val="20"/>
    </w:rPr>
  </w:style>
  <w:style w:type="paragraph" w:styleId="CommentSubject">
    <w:name w:val="annotation subject"/>
    <w:basedOn w:val="CommentText"/>
    <w:next w:val="CommentText"/>
    <w:link w:val="CommentSubjectChar"/>
    <w:uiPriority w:val="99"/>
    <w:semiHidden/>
    <w:unhideWhenUsed/>
    <w:rsid w:val="00F51C55"/>
    <w:rPr>
      <w:b/>
      <w:bCs/>
    </w:rPr>
  </w:style>
  <w:style w:type="character" w:customStyle="1" w:styleId="CommentSubjectChar">
    <w:name w:val="Comment Subject Char"/>
    <w:basedOn w:val="CommentTextChar"/>
    <w:link w:val="CommentSubject"/>
    <w:uiPriority w:val="99"/>
    <w:semiHidden/>
    <w:rsid w:val="00F51C55"/>
    <w:rPr>
      <w:b/>
      <w:bCs/>
      <w:sz w:val="20"/>
      <w:szCs w:val="20"/>
    </w:rPr>
  </w:style>
  <w:style w:type="paragraph" w:styleId="BalloonText">
    <w:name w:val="Balloon Text"/>
    <w:basedOn w:val="Normal"/>
    <w:link w:val="BalloonTextChar"/>
    <w:uiPriority w:val="99"/>
    <w:semiHidden/>
    <w:unhideWhenUsed/>
    <w:rsid w:val="0090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EF"/>
    <w:rPr>
      <w:rFonts w:ascii="Segoe UI" w:hAnsi="Segoe UI" w:cs="Segoe UI"/>
      <w:sz w:val="18"/>
      <w:szCs w:val="18"/>
    </w:rPr>
  </w:style>
  <w:style w:type="paragraph" w:customStyle="1" w:styleId="Default">
    <w:name w:val="Default"/>
    <w:rsid w:val="0054143A"/>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6">
    <w:name w:val="Pa6"/>
    <w:basedOn w:val="Default"/>
    <w:next w:val="Default"/>
    <w:uiPriority w:val="99"/>
    <w:rsid w:val="0054143A"/>
    <w:pPr>
      <w:spacing w:line="241" w:lineRule="atLeast"/>
    </w:pPr>
    <w:rPr>
      <w:rFonts w:cstheme="minorBidi"/>
      <w:color w:val="auto"/>
    </w:rPr>
  </w:style>
  <w:style w:type="paragraph" w:customStyle="1" w:styleId="Pa7">
    <w:name w:val="Pa7"/>
    <w:basedOn w:val="Default"/>
    <w:next w:val="Default"/>
    <w:uiPriority w:val="99"/>
    <w:rsid w:val="0054143A"/>
    <w:pPr>
      <w:spacing w:line="241" w:lineRule="atLeast"/>
    </w:pPr>
    <w:rPr>
      <w:rFonts w:cstheme="minorBidi"/>
      <w:color w:val="auto"/>
    </w:rPr>
  </w:style>
  <w:style w:type="paragraph" w:customStyle="1" w:styleId="Pa20">
    <w:name w:val="Pa20"/>
    <w:basedOn w:val="Default"/>
    <w:next w:val="Default"/>
    <w:uiPriority w:val="99"/>
    <w:rsid w:val="00EE29A4"/>
    <w:pPr>
      <w:spacing w:line="241" w:lineRule="atLeast"/>
    </w:pPr>
    <w:rPr>
      <w:rFonts w:ascii="HelveticaNeueLT Std Med" w:hAnsi="HelveticaNeueLT Std Med" w:cstheme="minorBidi"/>
      <w:color w:val="auto"/>
    </w:rPr>
  </w:style>
  <w:style w:type="character" w:customStyle="1" w:styleId="A15">
    <w:name w:val="A15"/>
    <w:uiPriority w:val="99"/>
    <w:rsid w:val="00EE29A4"/>
    <w:rPr>
      <w:rFonts w:cs="HelveticaNeueLT Std Med"/>
      <w:color w:val="838383"/>
      <w:sz w:val="22"/>
      <w:szCs w:val="22"/>
    </w:rPr>
  </w:style>
  <w:style w:type="character" w:customStyle="1" w:styleId="A4">
    <w:name w:val="A4"/>
    <w:uiPriority w:val="99"/>
    <w:rsid w:val="00EE29A4"/>
    <w:rPr>
      <w:rFonts w:cs="HelveticaNeueLT Std"/>
      <w:b/>
      <w:bCs/>
      <w:color w:val="FFFFFF"/>
      <w:sz w:val="28"/>
      <w:szCs w:val="28"/>
    </w:rPr>
  </w:style>
  <w:style w:type="paragraph" w:customStyle="1" w:styleId="Pa15">
    <w:name w:val="Pa15"/>
    <w:basedOn w:val="Default"/>
    <w:next w:val="Default"/>
    <w:uiPriority w:val="99"/>
    <w:rsid w:val="00F8793E"/>
    <w:pPr>
      <w:spacing w:line="241" w:lineRule="atLeast"/>
    </w:pPr>
    <w:rPr>
      <w:rFonts w:ascii="Museo Sans 300" w:hAnsi="Museo Sans 300" w:cstheme="minorBidi"/>
      <w:color w:val="auto"/>
    </w:rPr>
  </w:style>
  <w:style w:type="character" w:customStyle="1" w:styleId="A6">
    <w:name w:val="A6"/>
    <w:uiPriority w:val="99"/>
    <w:rsid w:val="00F8793E"/>
    <w:rPr>
      <w:rFonts w:cs="HelveticaNeueLT Std Lt"/>
      <w:color w:val="000000"/>
      <w:sz w:val="34"/>
      <w:szCs w:val="34"/>
    </w:rPr>
  </w:style>
  <w:style w:type="character" w:customStyle="1" w:styleId="Heading1Char">
    <w:name w:val="Heading 1 Char"/>
    <w:basedOn w:val="DefaultParagraphFont"/>
    <w:link w:val="Heading1"/>
    <w:uiPriority w:val="9"/>
    <w:rsid w:val="001C11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055F"/>
    <w:rPr>
      <w:rFonts w:ascii="Bahnschrift SemiBold" w:eastAsiaTheme="majorEastAsia" w:hAnsi="Bahnschrift SemiBold" w:cstheme="majorBidi"/>
      <w:color w:val="2F5496" w:themeColor="accent1" w:themeShade="BF"/>
      <w:sz w:val="34"/>
      <w:szCs w:val="34"/>
    </w:rPr>
  </w:style>
  <w:style w:type="paragraph" w:customStyle="1" w:styleId="Pa5">
    <w:name w:val="Pa5"/>
    <w:basedOn w:val="Default"/>
    <w:next w:val="Default"/>
    <w:uiPriority w:val="99"/>
    <w:rsid w:val="004C6493"/>
    <w:pPr>
      <w:spacing w:line="401" w:lineRule="atLeast"/>
    </w:pPr>
    <w:rPr>
      <w:rFonts w:ascii="Museo Sans 500" w:hAnsi="Museo Sans 500" w:cstheme="minorBidi"/>
      <w:color w:val="auto"/>
    </w:rPr>
  </w:style>
  <w:style w:type="paragraph" w:customStyle="1" w:styleId="Pa10">
    <w:name w:val="Pa10"/>
    <w:basedOn w:val="Default"/>
    <w:next w:val="Default"/>
    <w:uiPriority w:val="99"/>
    <w:rsid w:val="004C6493"/>
    <w:pPr>
      <w:spacing w:line="241" w:lineRule="atLeast"/>
    </w:pPr>
    <w:rPr>
      <w:rFonts w:ascii="Museo Sans 500" w:hAnsi="Museo Sans 500" w:cstheme="minorBidi"/>
      <w:color w:val="auto"/>
    </w:rPr>
  </w:style>
  <w:style w:type="paragraph" w:customStyle="1" w:styleId="Pa9">
    <w:name w:val="Pa9"/>
    <w:basedOn w:val="Default"/>
    <w:next w:val="Default"/>
    <w:uiPriority w:val="99"/>
    <w:rsid w:val="004C6493"/>
    <w:pPr>
      <w:spacing w:line="401" w:lineRule="atLeast"/>
    </w:pPr>
    <w:rPr>
      <w:rFonts w:ascii="Museo Sans 500" w:hAnsi="Museo Sans 500" w:cstheme="minorBidi"/>
      <w:color w:val="auto"/>
    </w:rPr>
  </w:style>
  <w:style w:type="paragraph" w:customStyle="1" w:styleId="Pa22">
    <w:name w:val="Pa22"/>
    <w:basedOn w:val="Default"/>
    <w:next w:val="Default"/>
    <w:uiPriority w:val="99"/>
    <w:rsid w:val="004C6493"/>
    <w:pPr>
      <w:spacing w:line="241" w:lineRule="atLeast"/>
    </w:pPr>
    <w:rPr>
      <w:rFonts w:ascii="Museo Sans 500" w:hAnsi="Museo Sans 500" w:cstheme="minorBidi"/>
      <w:color w:val="auto"/>
    </w:rPr>
  </w:style>
  <w:style w:type="paragraph" w:customStyle="1" w:styleId="Pa23">
    <w:name w:val="Pa23"/>
    <w:basedOn w:val="Default"/>
    <w:next w:val="Default"/>
    <w:uiPriority w:val="99"/>
    <w:rsid w:val="004C6493"/>
    <w:pPr>
      <w:spacing w:line="241" w:lineRule="atLeast"/>
    </w:pPr>
    <w:rPr>
      <w:rFonts w:ascii="Museo Sans 500" w:hAnsi="Museo Sans 500" w:cstheme="minorBidi"/>
      <w:color w:val="auto"/>
    </w:rPr>
  </w:style>
  <w:style w:type="paragraph" w:customStyle="1" w:styleId="Pa8">
    <w:name w:val="Pa8"/>
    <w:basedOn w:val="Default"/>
    <w:next w:val="Default"/>
    <w:uiPriority w:val="99"/>
    <w:rsid w:val="004C6493"/>
    <w:pPr>
      <w:spacing w:line="241" w:lineRule="atLeast"/>
    </w:pPr>
    <w:rPr>
      <w:rFonts w:ascii="Museo Sans 500" w:hAnsi="Museo Sans 500" w:cstheme="minorBidi"/>
      <w:color w:val="auto"/>
    </w:rPr>
  </w:style>
  <w:style w:type="paragraph" w:customStyle="1" w:styleId="Pa26">
    <w:name w:val="Pa26"/>
    <w:basedOn w:val="Default"/>
    <w:next w:val="Default"/>
    <w:uiPriority w:val="99"/>
    <w:rsid w:val="004C6493"/>
    <w:pPr>
      <w:spacing w:line="241" w:lineRule="atLeast"/>
    </w:pPr>
    <w:rPr>
      <w:rFonts w:ascii="Museo Sans 500" w:hAnsi="Museo Sans 500" w:cstheme="minorBidi"/>
      <w:color w:val="auto"/>
    </w:rPr>
  </w:style>
  <w:style w:type="character" w:customStyle="1" w:styleId="A21">
    <w:name w:val="A21"/>
    <w:uiPriority w:val="99"/>
    <w:rsid w:val="004C6493"/>
    <w:rPr>
      <w:rFonts w:ascii="HelveticaNeueLT Std Med" w:hAnsi="HelveticaNeueLT Std Med" w:cs="HelveticaNeueLT Std Med"/>
      <w:color w:val="FFFFFF"/>
      <w:sz w:val="20"/>
      <w:szCs w:val="20"/>
    </w:rPr>
  </w:style>
  <w:style w:type="paragraph" w:customStyle="1" w:styleId="Bullet-Disc">
    <w:name w:val="Bullet-Disc"/>
    <w:basedOn w:val="ListParagraph"/>
    <w:qFormat/>
    <w:rsid w:val="00CA207E"/>
  </w:style>
  <w:style w:type="paragraph" w:styleId="Header">
    <w:name w:val="header"/>
    <w:basedOn w:val="Normal"/>
    <w:link w:val="HeaderChar"/>
    <w:uiPriority w:val="99"/>
    <w:unhideWhenUsed/>
    <w:rsid w:val="00A03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7C8"/>
    <w:rPr>
      <w:sz w:val="25"/>
    </w:rPr>
  </w:style>
  <w:style w:type="paragraph" w:styleId="Footer">
    <w:name w:val="footer"/>
    <w:basedOn w:val="Normal"/>
    <w:link w:val="FooterChar"/>
    <w:uiPriority w:val="99"/>
    <w:unhideWhenUsed/>
    <w:rsid w:val="00A037C8"/>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A037C8"/>
    <w:rPr>
      <w:sz w:val="25"/>
    </w:rPr>
  </w:style>
  <w:style w:type="character" w:styleId="Hyperlink">
    <w:name w:val="Hyperlink"/>
    <w:basedOn w:val="DefaultParagraphFont"/>
    <w:uiPriority w:val="99"/>
    <w:unhideWhenUsed/>
    <w:rsid w:val="00A037C8"/>
    <w:rPr>
      <w:color w:val="0563C1" w:themeColor="hyperlink"/>
      <w:u w:val="single"/>
    </w:rPr>
  </w:style>
  <w:style w:type="character" w:styleId="UnresolvedMention">
    <w:name w:val="Unresolved Mention"/>
    <w:basedOn w:val="DefaultParagraphFont"/>
    <w:uiPriority w:val="99"/>
    <w:semiHidden/>
    <w:unhideWhenUsed/>
    <w:rsid w:val="00A037C8"/>
    <w:rPr>
      <w:color w:val="605E5C"/>
      <w:shd w:val="clear" w:color="auto" w:fill="E1DFDD"/>
    </w:rPr>
  </w:style>
  <w:style w:type="character" w:customStyle="1" w:styleId="Heading3Char">
    <w:name w:val="Heading 3 Char"/>
    <w:basedOn w:val="DefaultParagraphFont"/>
    <w:link w:val="Heading3"/>
    <w:uiPriority w:val="9"/>
    <w:rsid w:val="00417C05"/>
    <w:rPr>
      <w:rFonts w:ascii="Bahnschrift SemiBold" w:eastAsiaTheme="majorEastAsia" w:hAnsi="Bahnschrift SemiBold" w:cstheme="majorBidi"/>
      <w:color w:val="000000" w:themeColor="text1"/>
      <w:sz w:val="29"/>
      <w:szCs w:val="29"/>
    </w:rPr>
  </w:style>
  <w:style w:type="character" w:styleId="FollowedHyperlink">
    <w:name w:val="FollowedHyperlink"/>
    <w:basedOn w:val="DefaultParagraphFont"/>
    <w:uiPriority w:val="99"/>
    <w:semiHidden/>
    <w:unhideWhenUsed/>
    <w:rsid w:val="002F7CE4"/>
    <w:rPr>
      <w:color w:val="954F72" w:themeColor="followedHyperlink"/>
      <w:u w:val="single"/>
    </w:rPr>
  </w:style>
  <w:style w:type="paragraph" w:styleId="TOC1">
    <w:name w:val="toc 1"/>
    <w:basedOn w:val="Normal"/>
    <w:next w:val="Normal"/>
    <w:autoRedefine/>
    <w:uiPriority w:val="39"/>
    <w:unhideWhenUsed/>
    <w:rsid w:val="00C663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SocialInclusion@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S.clientfeedbackandcomplaint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E8FF-D227-402B-86E0-5F474BE5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Social Impact Framework</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Framework</dc:title>
  <dc:subject/>
  <dc:creator>Turtur, Reece (DHS)</dc:creator>
  <cp:keywords/>
  <dc:description/>
  <cp:lastModifiedBy>Edwards, Stephanie (DHS)</cp:lastModifiedBy>
  <cp:revision>45</cp:revision>
  <dcterms:created xsi:type="dcterms:W3CDTF">2021-08-24T05:30:00Z</dcterms:created>
  <dcterms:modified xsi:type="dcterms:W3CDTF">2022-02-01T02:16:00Z</dcterms:modified>
</cp:coreProperties>
</file>